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33A0" w14:textId="77777777" w:rsidR="00AA6F4D" w:rsidRPr="00BB212B" w:rsidRDefault="00FE389F" w:rsidP="0021114E">
      <w:pPr>
        <w:pStyle w:val="LGAItemNoHeading"/>
        <w:spacing w:before="240"/>
        <w:rPr>
          <w:rFonts w:ascii="Arial" w:hAnsi="Arial" w:cs="Arial"/>
          <w:sz w:val="28"/>
          <w:szCs w:val="28"/>
        </w:rPr>
      </w:pPr>
      <w:r>
        <w:rPr>
          <w:rFonts w:ascii="Arial" w:hAnsi="Arial" w:cs="Arial"/>
          <w:sz w:val="28"/>
          <w:szCs w:val="28"/>
        </w:rPr>
        <w:t>2017 Spring Budget</w:t>
      </w:r>
    </w:p>
    <w:p w14:paraId="3CC406B1" w14:textId="77777777" w:rsidR="00116859" w:rsidRDefault="00116859" w:rsidP="0021114E">
      <w:pPr>
        <w:pStyle w:val="MainText"/>
        <w:spacing w:line="240" w:lineRule="auto"/>
        <w:rPr>
          <w:rFonts w:ascii="Arial" w:hAnsi="Arial" w:cs="Arial"/>
          <w:b/>
          <w:szCs w:val="22"/>
        </w:rPr>
      </w:pPr>
    </w:p>
    <w:p w14:paraId="334B3DAB"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688999F7" w14:textId="77777777" w:rsidR="0021114E" w:rsidRPr="0021114E" w:rsidRDefault="0021114E" w:rsidP="0021114E">
      <w:pPr>
        <w:pStyle w:val="MainText"/>
        <w:spacing w:line="240" w:lineRule="auto"/>
        <w:rPr>
          <w:rFonts w:ascii="Arial" w:hAnsi="Arial" w:cs="Arial"/>
          <w:b/>
          <w:szCs w:val="22"/>
        </w:rPr>
      </w:pPr>
    </w:p>
    <w:p w14:paraId="01E49890" w14:textId="77777777"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39BD7B25" w14:textId="77777777" w:rsidR="00A601EC" w:rsidRPr="0021114E" w:rsidRDefault="00A601EC" w:rsidP="0021114E">
      <w:pPr>
        <w:pStyle w:val="MainText"/>
        <w:spacing w:line="240" w:lineRule="auto"/>
        <w:rPr>
          <w:rFonts w:ascii="Arial" w:hAnsi="Arial" w:cs="Arial"/>
          <w:b/>
          <w:szCs w:val="22"/>
        </w:rPr>
      </w:pPr>
    </w:p>
    <w:p w14:paraId="352A0214"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279E7642" w14:textId="77777777"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052B9646" w14:textId="7C486D63" w:rsidR="00C56860" w:rsidRPr="004D6E27" w:rsidRDefault="0062371F" w:rsidP="004D6E27">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 xml:space="preserve">report </w:t>
      </w:r>
      <w:r w:rsidR="00C8393C" w:rsidRPr="00C8393C">
        <w:rPr>
          <w:rFonts w:ascii="Arial" w:hAnsi="Arial" w:cs="Arial"/>
          <w:szCs w:val="22"/>
        </w:rPr>
        <w:t xml:space="preserve">highlights the announcements in the </w:t>
      </w:r>
      <w:r w:rsidR="00C8393C">
        <w:rPr>
          <w:rFonts w:ascii="Arial" w:hAnsi="Arial" w:cs="Arial"/>
          <w:szCs w:val="22"/>
        </w:rPr>
        <w:t>2017 Spring Budget</w:t>
      </w:r>
      <w:r w:rsidR="00C8393C" w:rsidRPr="00C8393C">
        <w:rPr>
          <w:rFonts w:ascii="Arial" w:hAnsi="Arial" w:cs="Arial"/>
          <w:szCs w:val="22"/>
        </w:rPr>
        <w:t xml:space="preserve"> with implications for local government.</w:t>
      </w:r>
      <w:r w:rsidR="00C8393C">
        <w:rPr>
          <w:rFonts w:ascii="Arial" w:hAnsi="Arial" w:cs="Arial"/>
          <w:szCs w:val="22"/>
        </w:rPr>
        <w:t xml:space="preserve"> </w:t>
      </w:r>
      <w:r w:rsidR="00116859">
        <w:rPr>
          <w:rFonts w:ascii="Arial" w:hAnsi="Arial" w:cs="Arial"/>
          <w:szCs w:val="22"/>
        </w:rPr>
        <w:t xml:space="preserve"> </w:t>
      </w:r>
      <w:r w:rsidR="00C8393C">
        <w:rPr>
          <w:rFonts w:ascii="Arial" w:hAnsi="Arial" w:cs="Arial"/>
          <w:szCs w:val="22"/>
        </w:rPr>
        <w:t xml:space="preserve">It also </w:t>
      </w:r>
      <w:r w:rsidR="00215CEB" w:rsidRPr="004D6E27">
        <w:rPr>
          <w:rFonts w:ascii="Arial" w:hAnsi="Arial" w:cs="Arial"/>
          <w:szCs w:val="22"/>
        </w:rPr>
        <w:t>provides an update on the</w:t>
      </w:r>
      <w:r w:rsidR="00E40B9D" w:rsidRPr="004D6E27">
        <w:rPr>
          <w:rFonts w:ascii="Arial" w:hAnsi="Arial" w:cs="Arial"/>
          <w:szCs w:val="22"/>
        </w:rPr>
        <w:t xml:space="preserve"> </w:t>
      </w:r>
      <w:r w:rsidR="00FE389F">
        <w:rPr>
          <w:rFonts w:ascii="Arial" w:hAnsi="Arial" w:cs="Arial"/>
          <w:szCs w:val="22"/>
        </w:rPr>
        <w:t>LGA’s work following the Budget</w:t>
      </w:r>
      <w:r w:rsidR="00C8393C">
        <w:rPr>
          <w:rFonts w:ascii="Arial" w:hAnsi="Arial" w:cs="Arial"/>
          <w:szCs w:val="22"/>
        </w:rPr>
        <w:t xml:space="preserve">. </w:t>
      </w:r>
    </w:p>
    <w:p w14:paraId="7430BC2A" w14:textId="77777777" w:rsidR="00C56860" w:rsidRPr="0021114E" w:rsidRDefault="00C56860" w:rsidP="0021114E">
      <w:pPr>
        <w:pStyle w:val="MainText"/>
        <w:spacing w:line="240" w:lineRule="auto"/>
        <w:rPr>
          <w:rFonts w:ascii="Arial" w:hAnsi="Arial" w:cs="Arial"/>
          <w:szCs w:val="22"/>
        </w:rPr>
      </w:pPr>
    </w:p>
    <w:p w14:paraId="46F65FC1"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68B71962" w14:textId="77777777">
        <w:tc>
          <w:tcPr>
            <w:tcW w:w="9157" w:type="dxa"/>
          </w:tcPr>
          <w:p w14:paraId="74C439E4" w14:textId="77777777" w:rsidR="000C3360" w:rsidRPr="0021114E" w:rsidRDefault="000C3360" w:rsidP="0021114E">
            <w:pPr>
              <w:pStyle w:val="MainText"/>
              <w:spacing w:line="240" w:lineRule="auto"/>
              <w:rPr>
                <w:rFonts w:ascii="Arial" w:hAnsi="Arial" w:cs="Arial"/>
                <w:b/>
                <w:szCs w:val="22"/>
              </w:rPr>
            </w:pPr>
          </w:p>
          <w:p w14:paraId="26EDC44F"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0A90D482" w14:textId="77777777" w:rsidR="00373AAF" w:rsidRDefault="00373AAF" w:rsidP="0021114E">
            <w:pPr>
              <w:pStyle w:val="MainText"/>
              <w:spacing w:line="240" w:lineRule="auto"/>
              <w:rPr>
                <w:rFonts w:ascii="Arial" w:hAnsi="Arial" w:cs="Arial"/>
                <w:szCs w:val="22"/>
              </w:rPr>
            </w:pPr>
          </w:p>
          <w:p w14:paraId="71352F7A" w14:textId="214059DC" w:rsidR="00540228" w:rsidRDefault="00116859" w:rsidP="00540228">
            <w:pPr>
              <w:pStyle w:val="MainText"/>
              <w:spacing w:line="240" w:lineRule="auto"/>
              <w:rPr>
                <w:rFonts w:ascii="Arial" w:hAnsi="Arial" w:cs="Arial"/>
                <w:szCs w:val="22"/>
              </w:rPr>
            </w:pPr>
            <w:r>
              <w:rPr>
                <w:rFonts w:ascii="Arial" w:hAnsi="Arial" w:cs="Arial"/>
                <w:szCs w:val="22"/>
              </w:rPr>
              <w:t>That the LGA L</w:t>
            </w:r>
            <w:r w:rsidR="00FE389F">
              <w:rPr>
                <w:rFonts w:ascii="Arial" w:hAnsi="Arial" w:cs="Arial"/>
                <w:szCs w:val="22"/>
              </w:rPr>
              <w:t>eadership</w:t>
            </w:r>
            <w:r w:rsidR="008F78E9">
              <w:rPr>
                <w:rFonts w:ascii="Arial" w:hAnsi="Arial" w:cs="Arial"/>
                <w:szCs w:val="22"/>
              </w:rPr>
              <w:t xml:space="preserve"> Board note </w:t>
            </w:r>
            <w:r>
              <w:rPr>
                <w:rFonts w:ascii="Arial" w:hAnsi="Arial" w:cs="Arial"/>
                <w:szCs w:val="22"/>
              </w:rPr>
              <w:t>the</w:t>
            </w:r>
            <w:r w:rsidR="008F78E9">
              <w:rPr>
                <w:rFonts w:ascii="Arial" w:hAnsi="Arial" w:cs="Arial"/>
                <w:szCs w:val="22"/>
              </w:rPr>
              <w:t xml:space="preserve"> report</w:t>
            </w:r>
            <w:r w:rsidR="00540228">
              <w:rPr>
                <w:rFonts w:ascii="Arial" w:hAnsi="Arial" w:cs="Arial"/>
                <w:szCs w:val="22"/>
              </w:rPr>
              <w:t>,</w:t>
            </w:r>
            <w:r w:rsidR="008F78E9">
              <w:rPr>
                <w:rFonts w:ascii="Arial" w:hAnsi="Arial" w:cs="Arial"/>
                <w:szCs w:val="22"/>
              </w:rPr>
              <w:t xml:space="preserve"> comment on </w:t>
            </w:r>
            <w:r w:rsidR="00540228">
              <w:rPr>
                <w:rFonts w:ascii="Arial" w:hAnsi="Arial" w:cs="Arial"/>
                <w:szCs w:val="22"/>
              </w:rPr>
              <w:t>its contents</w:t>
            </w:r>
            <w:r>
              <w:rPr>
                <w:rFonts w:ascii="Arial" w:hAnsi="Arial" w:cs="Arial"/>
                <w:szCs w:val="22"/>
              </w:rPr>
              <w:t>,</w:t>
            </w:r>
            <w:r w:rsidR="00540228">
              <w:rPr>
                <w:rFonts w:ascii="Arial" w:hAnsi="Arial" w:cs="Arial"/>
                <w:szCs w:val="22"/>
              </w:rPr>
              <w:t xml:space="preserve"> and agree any further action.</w:t>
            </w:r>
          </w:p>
          <w:p w14:paraId="206B5AA0" w14:textId="77777777" w:rsidR="00540228" w:rsidRPr="0021114E" w:rsidRDefault="00540228" w:rsidP="00540228">
            <w:pPr>
              <w:pStyle w:val="MainText"/>
              <w:spacing w:line="240" w:lineRule="auto"/>
              <w:rPr>
                <w:rFonts w:ascii="Arial" w:hAnsi="Arial" w:cs="Arial"/>
                <w:szCs w:val="22"/>
              </w:rPr>
            </w:pPr>
          </w:p>
          <w:p w14:paraId="518076FA" w14:textId="77777777" w:rsidR="00215CEB" w:rsidRPr="0021114E" w:rsidRDefault="00215CEB" w:rsidP="0021114E">
            <w:pPr>
              <w:pStyle w:val="MainText"/>
              <w:spacing w:line="240" w:lineRule="auto"/>
              <w:rPr>
                <w:rFonts w:ascii="Arial" w:hAnsi="Arial" w:cs="Arial"/>
                <w:szCs w:val="22"/>
              </w:rPr>
            </w:pPr>
          </w:p>
          <w:p w14:paraId="48614044"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55EB5CAC" w14:textId="77777777" w:rsidR="00A601EC" w:rsidRPr="0021114E" w:rsidRDefault="00A601EC" w:rsidP="0021114E">
            <w:pPr>
              <w:pStyle w:val="MainText"/>
              <w:spacing w:line="240" w:lineRule="auto"/>
              <w:rPr>
                <w:rFonts w:ascii="Arial" w:hAnsi="Arial" w:cs="Arial"/>
                <w:b/>
                <w:szCs w:val="22"/>
              </w:rPr>
            </w:pPr>
          </w:p>
          <w:p w14:paraId="414F28DF"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14DFCC8E" w14:textId="77777777" w:rsidR="000A3935" w:rsidRPr="0021114E" w:rsidRDefault="000A3935" w:rsidP="0021114E">
            <w:pPr>
              <w:pStyle w:val="MainText"/>
              <w:spacing w:line="240" w:lineRule="auto"/>
              <w:rPr>
                <w:rFonts w:ascii="Arial" w:hAnsi="Arial" w:cs="Arial"/>
                <w:b/>
                <w:szCs w:val="22"/>
              </w:rPr>
            </w:pPr>
          </w:p>
        </w:tc>
      </w:tr>
    </w:tbl>
    <w:p w14:paraId="5355AE79" w14:textId="77777777" w:rsidR="00AA6F4D" w:rsidRPr="0021114E" w:rsidRDefault="00AA6F4D" w:rsidP="0021114E">
      <w:pPr>
        <w:pStyle w:val="MainText"/>
        <w:spacing w:line="240" w:lineRule="auto"/>
        <w:rPr>
          <w:rFonts w:ascii="Arial" w:hAnsi="Arial" w:cs="Arial"/>
          <w:szCs w:val="22"/>
        </w:rPr>
      </w:pPr>
    </w:p>
    <w:p w14:paraId="19134B0D" w14:textId="77777777" w:rsidR="000D2BDB" w:rsidRPr="0021114E" w:rsidRDefault="000D2BDB" w:rsidP="0021114E">
      <w:pPr>
        <w:pStyle w:val="MainText"/>
        <w:spacing w:line="240" w:lineRule="auto"/>
        <w:rPr>
          <w:rFonts w:ascii="Arial" w:hAnsi="Arial" w:cs="Arial"/>
          <w:szCs w:val="22"/>
        </w:rPr>
      </w:pPr>
    </w:p>
    <w:p w14:paraId="1432E534" w14:textId="77777777" w:rsidR="00AA6F4D" w:rsidRPr="0021114E" w:rsidRDefault="00AA6F4D" w:rsidP="0021114E">
      <w:pPr>
        <w:pStyle w:val="MainText"/>
        <w:spacing w:line="240" w:lineRule="auto"/>
        <w:rPr>
          <w:rFonts w:ascii="Arial" w:hAnsi="Arial" w:cs="Arial"/>
          <w:szCs w:val="22"/>
        </w:rPr>
      </w:pPr>
    </w:p>
    <w:tbl>
      <w:tblPr>
        <w:tblStyle w:val="TableGrid"/>
        <w:tblW w:w="15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6303"/>
        <w:gridCol w:w="6303"/>
      </w:tblGrid>
      <w:tr w:rsidR="00F64D92" w:rsidRPr="0021114E" w14:paraId="1FFBD235" w14:textId="77777777" w:rsidTr="00F64D92">
        <w:tc>
          <w:tcPr>
            <w:tcW w:w="2768" w:type="dxa"/>
          </w:tcPr>
          <w:p w14:paraId="7F8FA732" w14:textId="77777777" w:rsidR="00F64D92" w:rsidRPr="0021114E" w:rsidRDefault="00F64D92" w:rsidP="00F64D92">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p>
        </w:tc>
        <w:tc>
          <w:tcPr>
            <w:tcW w:w="6303" w:type="dxa"/>
          </w:tcPr>
          <w:p w14:paraId="450E28EB" w14:textId="77777777" w:rsidR="00F64D92" w:rsidRDefault="004969E2" w:rsidP="00F64D92">
            <w:pPr>
              <w:pStyle w:val="MainText"/>
              <w:spacing w:before="120" w:line="240" w:lineRule="auto"/>
              <w:rPr>
                <w:rFonts w:ascii="Arial" w:hAnsi="Arial" w:cs="Arial"/>
                <w:szCs w:val="22"/>
              </w:rPr>
            </w:pPr>
            <w:r>
              <w:rPr>
                <w:rFonts w:ascii="Arial" w:hAnsi="Arial" w:cs="Arial"/>
                <w:szCs w:val="22"/>
              </w:rPr>
              <w:t>Sarah Pickup</w:t>
            </w:r>
          </w:p>
        </w:tc>
        <w:tc>
          <w:tcPr>
            <w:tcW w:w="6303" w:type="dxa"/>
          </w:tcPr>
          <w:p w14:paraId="4B448DAC"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37913468" w14:textId="77777777" w:rsidTr="00F64D92">
        <w:tc>
          <w:tcPr>
            <w:tcW w:w="2768" w:type="dxa"/>
          </w:tcPr>
          <w:p w14:paraId="1ABC031D"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Position:</w:t>
            </w:r>
          </w:p>
        </w:tc>
        <w:tc>
          <w:tcPr>
            <w:tcW w:w="6303" w:type="dxa"/>
          </w:tcPr>
          <w:p w14:paraId="39D02A6E" w14:textId="77777777" w:rsidR="00F64D92" w:rsidRDefault="004969E2" w:rsidP="00F64D92">
            <w:pPr>
              <w:pStyle w:val="MainText"/>
              <w:spacing w:before="120" w:line="240" w:lineRule="auto"/>
              <w:rPr>
                <w:rFonts w:ascii="Arial" w:hAnsi="Arial" w:cs="Arial"/>
                <w:szCs w:val="22"/>
              </w:rPr>
            </w:pPr>
            <w:r>
              <w:rPr>
                <w:rFonts w:ascii="Arial" w:hAnsi="Arial" w:cs="Arial"/>
                <w:szCs w:val="22"/>
              </w:rPr>
              <w:t>Deputy Chief Executive</w:t>
            </w:r>
          </w:p>
        </w:tc>
        <w:tc>
          <w:tcPr>
            <w:tcW w:w="6303" w:type="dxa"/>
          </w:tcPr>
          <w:p w14:paraId="01F88EF6"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599F2F43" w14:textId="77777777" w:rsidTr="00F64D92">
        <w:tc>
          <w:tcPr>
            <w:tcW w:w="2768" w:type="dxa"/>
          </w:tcPr>
          <w:p w14:paraId="589446BC"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Phone no:</w:t>
            </w:r>
          </w:p>
        </w:tc>
        <w:tc>
          <w:tcPr>
            <w:tcW w:w="6303" w:type="dxa"/>
          </w:tcPr>
          <w:p w14:paraId="4B6A79AE" w14:textId="77777777" w:rsidR="00F64D92" w:rsidRDefault="004969E2" w:rsidP="004969E2">
            <w:pPr>
              <w:pStyle w:val="MainText"/>
              <w:spacing w:before="120" w:line="240" w:lineRule="auto"/>
              <w:rPr>
                <w:rFonts w:ascii="Arial" w:hAnsi="Arial" w:cs="Arial"/>
                <w:szCs w:val="22"/>
              </w:rPr>
            </w:pPr>
            <w:r>
              <w:rPr>
                <w:rFonts w:ascii="Arial" w:hAnsi="Arial" w:cs="Arial"/>
                <w:szCs w:val="22"/>
              </w:rPr>
              <w:t>020 7664 3109</w:t>
            </w:r>
          </w:p>
        </w:tc>
        <w:tc>
          <w:tcPr>
            <w:tcW w:w="6303" w:type="dxa"/>
          </w:tcPr>
          <w:p w14:paraId="4ECAEAD1"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55C35B18" w14:textId="77777777" w:rsidTr="00F64D92">
        <w:trPr>
          <w:trHeight w:val="507"/>
        </w:trPr>
        <w:tc>
          <w:tcPr>
            <w:tcW w:w="2768" w:type="dxa"/>
          </w:tcPr>
          <w:p w14:paraId="4AE5074A" w14:textId="77777777" w:rsidR="00F64D92" w:rsidRPr="0021114E" w:rsidRDefault="00F64D92" w:rsidP="00F64D92">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6303" w:type="dxa"/>
          </w:tcPr>
          <w:p w14:paraId="4F557594" w14:textId="2DCBF5DF" w:rsidR="00F64D92" w:rsidRDefault="00116859" w:rsidP="004969E2">
            <w:pPr>
              <w:pStyle w:val="MainText"/>
              <w:spacing w:before="120" w:line="240" w:lineRule="auto"/>
              <w:rPr>
                <w:rFonts w:ascii="Arial" w:hAnsi="Arial" w:cs="Arial"/>
                <w:szCs w:val="22"/>
              </w:rPr>
            </w:pPr>
            <w:hyperlink r:id="rId11" w:history="1">
              <w:r w:rsidRPr="0004157B">
                <w:rPr>
                  <w:rStyle w:val="Hyperlink"/>
                  <w:rFonts w:ascii="Arial" w:hAnsi="Arial" w:cs="Arial"/>
                  <w:szCs w:val="22"/>
                </w:rPr>
                <w:t>sarah.pickup@local.gov.uk</w:t>
              </w:r>
            </w:hyperlink>
            <w:r>
              <w:rPr>
                <w:rFonts w:ascii="Arial" w:hAnsi="Arial" w:cs="Arial"/>
                <w:szCs w:val="22"/>
              </w:rPr>
              <w:t xml:space="preserve"> </w:t>
            </w:r>
            <w:r w:rsidR="00F64D92" w:rsidRPr="0021114E">
              <w:rPr>
                <w:rFonts w:ascii="Arial" w:hAnsi="Arial" w:cs="Arial"/>
                <w:szCs w:val="22"/>
              </w:rPr>
              <w:t xml:space="preserve"> </w:t>
            </w:r>
            <w:r>
              <w:rPr>
                <w:rFonts w:ascii="Arial" w:hAnsi="Arial" w:cs="Arial"/>
                <w:szCs w:val="22"/>
              </w:rPr>
              <w:t xml:space="preserve"> </w:t>
            </w:r>
          </w:p>
        </w:tc>
        <w:tc>
          <w:tcPr>
            <w:tcW w:w="6303" w:type="dxa"/>
          </w:tcPr>
          <w:p w14:paraId="1C8C847C" w14:textId="77777777" w:rsidR="00F64D92" w:rsidRPr="0021114E" w:rsidRDefault="00F64D92" w:rsidP="00F64D92">
            <w:pPr>
              <w:pStyle w:val="MainText"/>
              <w:spacing w:before="120" w:line="240" w:lineRule="auto"/>
              <w:rPr>
                <w:rFonts w:ascii="Arial" w:hAnsi="Arial" w:cs="Arial"/>
                <w:szCs w:val="22"/>
              </w:rPr>
            </w:pPr>
          </w:p>
        </w:tc>
      </w:tr>
    </w:tbl>
    <w:p w14:paraId="428A7D96" w14:textId="77777777" w:rsidR="0021114E" w:rsidRDefault="0021114E" w:rsidP="0021114E">
      <w:pPr>
        <w:pStyle w:val="MainText"/>
        <w:spacing w:line="240" w:lineRule="auto"/>
        <w:rPr>
          <w:rFonts w:ascii="Arial" w:hAnsi="Arial" w:cs="Arial"/>
          <w:szCs w:val="22"/>
        </w:rPr>
      </w:pPr>
    </w:p>
    <w:p w14:paraId="5600C379"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7657ECF1" w14:textId="77777777" w:rsidR="0021114E" w:rsidRDefault="0021114E">
      <w:pPr>
        <w:rPr>
          <w:rFonts w:ascii="Arial" w:hAnsi="Arial" w:cs="Arial"/>
          <w:szCs w:val="22"/>
        </w:rPr>
      </w:pPr>
      <w:r>
        <w:rPr>
          <w:rFonts w:ascii="Arial" w:hAnsi="Arial" w:cs="Arial"/>
          <w:szCs w:val="22"/>
        </w:rPr>
        <w:lastRenderedPageBreak/>
        <w:br w:type="page"/>
      </w:r>
    </w:p>
    <w:p w14:paraId="2629E0A6" w14:textId="77777777" w:rsidR="00F64D92" w:rsidRDefault="00F64D92" w:rsidP="0021114E">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lastRenderedPageBreak/>
        <w:t>Spring Budget 2017</w:t>
      </w:r>
    </w:p>
    <w:p w14:paraId="2F9C06F7" w14:textId="77777777" w:rsidR="00F64D92" w:rsidRDefault="00F64D92" w:rsidP="0021114E">
      <w:pPr>
        <w:pStyle w:val="MainText"/>
        <w:spacing w:line="240" w:lineRule="auto"/>
        <w:rPr>
          <w:rFonts w:ascii="Arial" w:hAnsi="Arial" w:cs="Arial"/>
          <w:b/>
          <w:sz w:val="28"/>
          <w:szCs w:val="22"/>
        </w:rPr>
      </w:pPr>
    </w:p>
    <w:p w14:paraId="0FC3F039" w14:textId="77777777" w:rsidR="00F64D92" w:rsidRDefault="00F64D92" w:rsidP="0021114E">
      <w:pPr>
        <w:pStyle w:val="MainText"/>
        <w:spacing w:line="240" w:lineRule="auto"/>
        <w:rPr>
          <w:rFonts w:ascii="Arial" w:hAnsi="Arial" w:cs="Arial"/>
          <w:b/>
          <w:szCs w:val="22"/>
        </w:rPr>
      </w:pPr>
      <w:r>
        <w:rPr>
          <w:rFonts w:ascii="Arial" w:hAnsi="Arial" w:cs="Arial"/>
          <w:b/>
          <w:szCs w:val="22"/>
        </w:rPr>
        <w:t>Background</w:t>
      </w:r>
    </w:p>
    <w:p w14:paraId="6AE380EA" w14:textId="77777777" w:rsidR="00F64D92" w:rsidRDefault="00F64D92" w:rsidP="0021114E">
      <w:pPr>
        <w:pStyle w:val="MainText"/>
        <w:spacing w:line="240" w:lineRule="auto"/>
        <w:rPr>
          <w:rFonts w:ascii="Arial" w:hAnsi="Arial" w:cs="Arial"/>
          <w:b/>
          <w:szCs w:val="22"/>
        </w:rPr>
      </w:pPr>
    </w:p>
    <w:p w14:paraId="34D5726A" w14:textId="77777777" w:rsidR="00DE2FF9" w:rsidRDefault="00DE2FF9" w:rsidP="007A3EB5">
      <w:pPr>
        <w:pStyle w:val="ListParagraph"/>
        <w:numPr>
          <w:ilvl w:val="0"/>
          <w:numId w:val="2"/>
        </w:numPr>
        <w:rPr>
          <w:rFonts w:ascii="Arial" w:hAnsi="Arial" w:cs="Arial"/>
          <w:szCs w:val="22"/>
        </w:rPr>
      </w:pPr>
      <w:r>
        <w:rPr>
          <w:rFonts w:ascii="Arial" w:hAnsi="Arial" w:cs="Arial"/>
          <w:szCs w:val="22"/>
        </w:rPr>
        <w:t xml:space="preserve">At its January meeting, the Leadership Board provided helpful feedback on the LGA’s draft submission to the Spring Budget. This informed the LGA’s </w:t>
      </w:r>
      <w:hyperlink r:id="rId15" w:history="1">
        <w:r w:rsidRPr="00B62BA4">
          <w:rPr>
            <w:rStyle w:val="Hyperlink"/>
            <w:rFonts w:ascii="Arial" w:hAnsi="Arial" w:cs="Arial"/>
            <w:szCs w:val="22"/>
          </w:rPr>
          <w:t>final submission</w:t>
        </w:r>
      </w:hyperlink>
      <w:r>
        <w:rPr>
          <w:rFonts w:ascii="Arial" w:hAnsi="Arial" w:cs="Arial"/>
          <w:szCs w:val="22"/>
        </w:rPr>
        <w:t>, which focused on three key areas:</w:t>
      </w:r>
    </w:p>
    <w:p w14:paraId="7B932B70" w14:textId="77777777" w:rsidR="00DE2FF9" w:rsidRDefault="00DE2FF9" w:rsidP="00DE2FF9">
      <w:pPr>
        <w:pStyle w:val="ListParagraph"/>
        <w:ind w:left="360"/>
        <w:rPr>
          <w:rFonts w:ascii="Arial" w:hAnsi="Arial" w:cs="Arial"/>
          <w:szCs w:val="22"/>
        </w:rPr>
      </w:pPr>
    </w:p>
    <w:p w14:paraId="57F66D35" w14:textId="77777777" w:rsidR="00DE2FF9" w:rsidRDefault="00DE2FF9" w:rsidP="00DE2FF9">
      <w:pPr>
        <w:pStyle w:val="ListParagraph"/>
        <w:numPr>
          <w:ilvl w:val="1"/>
          <w:numId w:val="2"/>
        </w:numPr>
        <w:rPr>
          <w:rFonts w:ascii="Arial" w:hAnsi="Arial" w:cs="Arial"/>
          <w:szCs w:val="22"/>
        </w:rPr>
      </w:pPr>
      <w:r>
        <w:rPr>
          <w:rFonts w:ascii="Arial" w:hAnsi="Arial" w:cs="Arial"/>
          <w:szCs w:val="22"/>
        </w:rPr>
        <w:t>The urgent need for additional and genuinely new funding for adult social care.</w:t>
      </w:r>
    </w:p>
    <w:p w14:paraId="64661DD5" w14:textId="77777777" w:rsidR="004F14F6" w:rsidRDefault="004F14F6" w:rsidP="004F14F6">
      <w:pPr>
        <w:pStyle w:val="ListParagraph"/>
        <w:ind w:left="792"/>
        <w:rPr>
          <w:rFonts w:ascii="Arial" w:hAnsi="Arial" w:cs="Arial"/>
          <w:szCs w:val="22"/>
        </w:rPr>
      </w:pPr>
    </w:p>
    <w:p w14:paraId="23C87E78" w14:textId="77777777" w:rsidR="00DE2FF9" w:rsidRDefault="00DE2FF9" w:rsidP="00DE2FF9">
      <w:pPr>
        <w:pStyle w:val="ListParagraph"/>
        <w:numPr>
          <w:ilvl w:val="1"/>
          <w:numId w:val="2"/>
        </w:numPr>
        <w:rPr>
          <w:rFonts w:ascii="Arial" w:hAnsi="Arial" w:cs="Arial"/>
          <w:szCs w:val="22"/>
        </w:rPr>
      </w:pPr>
      <w:r>
        <w:rPr>
          <w:rFonts w:ascii="Arial" w:hAnsi="Arial" w:cs="Arial"/>
          <w:szCs w:val="22"/>
        </w:rPr>
        <w:t>The crisis in housing – just as serious as the crisis in adult social care – and the need for action to tackle mounting pressure on temporary accommodation budgets, homelessness, and housebuilding.</w:t>
      </w:r>
    </w:p>
    <w:p w14:paraId="258CC456" w14:textId="3F318335" w:rsidR="004F14F6" w:rsidRPr="004F14F6" w:rsidRDefault="004F14F6" w:rsidP="004F14F6">
      <w:pPr>
        <w:pStyle w:val="ListParagraph"/>
        <w:rPr>
          <w:rFonts w:ascii="Arial" w:hAnsi="Arial" w:cs="Arial"/>
          <w:szCs w:val="22"/>
        </w:rPr>
      </w:pPr>
    </w:p>
    <w:p w14:paraId="5DA890DE" w14:textId="77777777" w:rsidR="00DE2FF9" w:rsidRDefault="00DE2FF9" w:rsidP="00DE2FF9">
      <w:pPr>
        <w:pStyle w:val="ListParagraph"/>
        <w:numPr>
          <w:ilvl w:val="1"/>
          <w:numId w:val="2"/>
        </w:numPr>
        <w:rPr>
          <w:rFonts w:ascii="Arial" w:hAnsi="Arial" w:cs="Arial"/>
          <w:szCs w:val="22"/>
        </w:rPr>
      </w:pPr>
      <w:r>
        <w:rPr>
          <w:rFonts w:ascii="Arial" w:hAnsi="Arial" w:cs="Arial"/>
          <w:szCs w:val="22"/>
        </w:rPr>
        <w:t>The need for the Brexit process</w:t>
      </w:r>
      <w:r w:rsidR="00B62BA4">
        <w:rPr>
          <w:rFonts w:ascii="Arial" w:hAnsi="Arial" w:cs="Arial"/>
          <w:szCs w:val="22"/>
        </w:rPr>
        <w:t xml:space="preserve"> to be used as an opportunity to accelerate growth, secure greater fiscal autonomy for councils, and pave the way for a replacement EU regional aid scheme that dovetails with business rates reform and the national industrial strategy.</w:t>
      </w:r>
    </w:p>
    <w:p w14:paraId="26CA753C" w14:textId="77777777" w:rsidR="00B62BA4" w:rsidRDefault="00B62BA4" w:rsidP="00B62BA4">
      <w:pPr>
        <w:pStyle w:val="ListParagraph"/>
        <w:ind w:left="360"/>
        <w:rPr>
          <w:rFonts w:ascii="Arial" w:hAnsi="Arial" w:cs="Arial"/>
          <w:szCs w:val="22"/>
        </w:rPr>
      </w:pPr>
    </w:p>
    <w:p w14:paraId="40003771" w14:textId="77777777" w:rsidR="00F64D92" w:rsidRDefault="00F64D92" w:rsidP="007A3EB5">
      <w:pPr>
        <w:pStyle w:val="ListParagraph"/>
        <w:numPr>
          <w:ilvl w:val="0"/>
          <w:numId w:val="2"/>
        </w:numPr>
        <w:rPr>
          <w:rFonts w:ascii="Arial" w:hAnsi="Arial" w:cs="Arial"/>
          <w:szCs w:val="22"/>
        </w:rPr>
      </w:pPr>
      <w:r w:rsidRPr="00F64D92">
        <w:rPr>
          <w:rFonts w:ascii="Arial" w:hAnsi="Arial" w:cs="Arial"/>
          <w:szCs w:val="22"/>
        </w:rPr>
        <w:t>The Chancellor</w:t>
      </w:r>
      <w:r w:rsidR="004969E2">
        <w:rPr>
          <w:rFonts w:ascii="Arial" w:hAnsi="Arial" w:cs="Arial"/>
          <w:szCs w:val="22"/>
        </w:rPr>
        <w:t>’s</w:t>
      </w:r>
      <w:r w:rsidRPr="00F64D92">
        <w:rPr>
          <w:rFonts w:ascii="Arial" w:hAnsi="Arial" w:cs="Arial"/>
          <w:szCs w:val="22"/>
        </w:rPr>
        <w:t xml:space="preserve"> </w:t>
      </w:r>
      <w:hyperlink r:id="rId16" w:history="1">
        <w:r w:rsidRPr="004969E2">
          <w:rPr>
            <w:rStyle w:val="Hyperlink"/>
            <w:rFonts w:ascii="Arial" w:hAnsi="Arial" w:cs="Arial"/>
            <w:szCs w:val="22"/>
          </w:rPr>
          <w:t>Budget</w:t>
        </w:r>
      </w:hyperlink>
      <w:r>
        <w:rPr>
          <w:rFonts w:ascii="Arial" w:hAnsi="Arial" w:cs="Arial"/>
          <w:szCs w:val="22"/>
        </w:rPr>
        <w:t xml:space="preserve"> </w:t>
      </w:r>
      <w:r w:rsidR="004969E2">
        <w:rPr>
          <w:rFonts w:ascii="Arial" w:hAnsi="Arial" w:cs="Arial"/>
          <w:szCs w:val="22"/>
        </w:rPr>
        <w:t xml:space="preserve">was </w:t>
      </w:r>
      <w:r w:rsidR="00183E8B">
        <w:rPr>
          <w:rFonts w:ascii="Arial" w:hAnsi="Arial" w:cs="Arial"/>
          <w:szCs w:val="22"/>
        </w:rPr>
        <w:t>published</w:t>
      </w:r>
      <w:r w:rsidR="004969E2">
        <w:rPr>
          <w:rFonts w:ascii="Arial" w:hAnsi="Arial" w:cs="Arial"/>
          <w:szCs w:val="22"/>
        </w:rPr>
        <w:t xml:space="preserve"> </w:t>
      </w:r>
      <w:r>
        <w:rPr>
          <w:rFonts w:ascii="Arial" w:hAnsi="Arial" w:cs="Arial"/>
          <w:szCs w:val="22"/>
        </w:rPr>
        <w:t xml:space="preserve">on </w:t>
      </w:r>
      <w:r w:rsidR="00BB546C">
        <w:rPr>
          <w:rFonts w:ascii="Arial" w:hAnsi="Arial" w:cs="Arial"/>
          <w:szCs w:val="22"/>
        </w:rPr>
        <w:t>8</w:t>
      </w:r>
      <w:r>
        <w:rPr>
          <w:rFonts w:ascii="Arial" w:hAnsi="Arial" w:cs="Arial"/>
          <w:szCs w:val="22"/>
        </w:rPr>
        <w:t xml:space="preserve"> March 2017. </w:t>
      </w:r>
      <w:r w:rsidR="00183E8B">
        <w:rPr>
          <w:rFonts w:ascii="Arial" w:hAnsi="Arial" w:cs="Arial"/>
          <w:szCs w:val="22"/>
        </w:rPr>
        <w:t>F</w:t>
      </w:r>
      <w:r>
        <w:rPr>
          <w:rFonts w:ascii="Arial" w:hAnsi="Arial" w:cs="Arial"/>
          <w:szCs w:val="22"/>
        </w:rPr>
        <w:t xml:space="preserve">rom </w:t>
      </w:r>
      <w:r w:rsidR="00161699">
        <w:rPr>
          <w:rFonts w:ascii="Arial" w:hAnsi="Arial" w:cs="Arial"/>
          <w:szCs w:val="22"/>
        </w:rPr>
        <w:t>now on</w:t>
      </w:r>
      <w:r>
        <w:rPr>
          <w:rFonts w:ascii="Arial" w:hAnsi="Arial" w:cs="Arial"/>
          <w:szCs w:val="22"/>
        </w:rPr>
        <w:t xml:space="preserve">, the annual Budget statement will take place every autumn, replacing the Autumn Statement. A Spring Statement will replace the </w:t>
      </w:r>
      <w:r w:rsidR="00BF386B">
        <w:rPr>
          <w:rFonts w:ascii="Arial" w:hAnsi="Arial" w:cs="Arial"/>
          <w:szCs w:val="22"/>
        </w:rPr>
        <w:t xml:space="preserve">existing </w:t>
      </w:r>
      <w:r>
        <w:rPr>
          <w:rFonts w:ascii="Arial" w:hAnsi="Arial" w:cs="Arial"/>
          <w:szCs w:val="22"/>
        </w:rPr>
        <w:t>Budget in March</w:t>
      </w:r>
      <w:r w:rsidRPr="00F64D92">
        <w:rPr>
          <w:rFonts w:ascii="Arial" w:hAnsi="Arial" w:cs="Arial"/>
          <w:szCs w:val="22"/>
        </w:rPr>
        <w:t xml:space="preserve"> </w:t>
      </w:r>
      <w:r>
        <w:rPr>
          <w:rFonts w:ascii="Arial" w:hAnsi="Arial" w:cs="Arial"/>
          <w:szCs w:val="22"/>
        </w:rPr>
        <w:t xml:space="preserve">each year, in which the Chancellor will respond to </w:t>
      </w:r>
      <w:r w:rsidRPr="00F64D92">
        <w:rPr>
          <w:rFonts w:ascii="Arial" w:hAnsi="Arial" w:cs="Arial"/>
          <w:szCs w:val="22"/>
        </w:rPr>
        <w:t>economic forecasts made by the Office of Budget Responsibility</w:t>
      </w:r>
      <w:r>
        <w:rPr>
          <w:rFonts w:ascii="Arial" w:hAnsi="Arial" w:cs="Arial"/>
          <w:szCs w:val="22"/>
        </w:rPr>
        <w:t>.</w:t>
      </w:r>
      <w:r w:rsidRPr="00F64D92">
        <w:rPr>
          <w:rFonts w:ascii="Arial" w:hAnsi="Arial" w:cs="Arial"/>
          <w:szCs w:val="22"/>
        </w:rPr>
        <w:t xml:space="preserve"> </w:t>
      </w:r>
      <w:r w:rsidR="00183E8B">
        <w:rPr>
          <w:rFonts w:ascii="Arial" w:hAnsi="Arial" w:cs="Arial"/>
          <w:szCs w:val="22"/>
        </w:rPr>
        <w:t>T</w:t>
      </w:r>
      <w:r w:rsidR="00161699">
        <w:rPr>
          <w:rFonts w:ascii="Arial" w:hAnsi="Arial" w:cs="Arial"/>
          <w:szCs w:val="22"/>
        </w:rPr>
        <w:t>his</w:t>
      </w:r>
      <w:r>
        <w:rPr>
          <w:rFonts w:ascii="Arial" w:hAnsi="Arial" w:cs="Arial"/>
          <w:szCs w:val="22"/>
        </w:rPr>
        <w:t xml:space="preserve"> Spring Statement is not </w:t>
      </w:r>
      <w:r w:rsidRPr="00F64D92">
        <w:rPr>
          <w:rFonts w:ascii="Arial" w:hAnsi="Arial" w:cs="Arial"/>
          <w:szCs w:val="22"/>
        </w:rPr>
        <w:t>intended to be</w:t>
      </w:r>
      <w:r>
        <w:rPr>
          <w:rFonts w:ascii="Arial" w:hAnsi="Arial" w:cs="Arial"/>
          <w:szCs w:val="22"/>
        </w:rPr>
        <w:t xml:space="preserve"> a</w:t>
      </w:r>
      <w:r w:rsidRPr="00F64D92">
        <w:rPr>
          <w:rFonts w:ascii="Arial" w:hAnsi="Arial" w:cs="Arial"/>
          <w:szCs w:val="22"/>
        </w:rPr>
        <w:t xml:space="preserve"> major </w:t>
      </w:r>
      <w:r>
        <w:rPr>
          <w:rFonts w:ascii="Arial" w:hAnsi="Arial" w:cs="Arial"/>
          <w:szCs w:val="22"/>
        </w:rPr>
        <w:t>‘fiscal event’.</w:t>
      </w:r>
    </w:p>
    <w:p w14:paraId="635BD02D" w14:textId="77777777" w:rsidR="00F64D92" w:rsidRDefault="00F64D92" w:rsidP="00F64D92">
      <w:pPr>
        <w:rPr>
          <w:rFonts w:ascii="Arial" w:hAnsi="Arial" w:cs="Arial"/>
          <w:szCs w:val="22"/>
        </w:rPr>
      </w:pPr>
    </w:p>
    <w:p w14:paraId="544E3E4A" w14:textId="77777777" w:rsidR="00B62BA4" w:rsidRDefault="00371965" w:rsidP="00F64D92">
      <w:pPr>
        <w:rPr>
          <w:rFonts w:ascii="Arial" w:hAnsi="Arial" w:cs="Arial"/>
          <w:b/>
          <w:szCs w:val="22"/>
        </w:rPr>
      </w:pPr>
      <w:r>
        <w:rPr>
          <w:rFonts w:ascii="Arial" w:hAnsi="Arial" w:cs="Arial"/>
          <w:b/>
          <w:szCs w:val="22"/>
        </w:rPr>
        <w:t>M</w:t>
      </w:r>
      <w:r w:rsidR="00B62BA4">
        <w:rPr>
          <w:rFonts w:ascii="Arial" w:hAnsi="Arial" w:cs="Arial"/>
          <w:b/>
          <w:szCs w:val="22"/>
        </w:rPr>
        <w:t>ain announcements for local government</w:t>
      </w:r>
    </w:p>
    <w:p w14:paraId="58B884F5" w14:textId="77777777" w:rsidR="00B62BA4" w:rsidRDefault="00B62BA4" w:rsidP="00F64D92">
      <w:pPr>
        <w:rPr>
          <w:rFonts w:ascii="Arial" w:hAnsi="Arial" w:cs="Arial"/>
          <w:b/>
          <w:szCs w:val="22"/>
        </w:rPr>
      </w:pPr>
    </w:p>
    <w:p w14:paraId="39D1904F" w14:textId="77777777" w:rsidR="00371965" w:rsidRDefault="00B62BA4" w:rsidP="00B62BA4">
      <w:pPr>
        <w:pStyle w:val="ListParagraph"/>
        <w:numPr>
          <w:ilvl w:val="0"/>
          <w:numId w:val="2"/>
        </w:numPr>
        <w:rPr>
          <w:rFonts w:ascii="Arial" w:hAnsi="Arial" w:cs="Arial"/>
          <w:szCs w:val="22"/>
        </w:rPr>
      </w:pPr>
      <w:r>
        <w:rPr>
          <w:rFonts w:ascii="Arial" w:hAnsi="Arial" w:cs="Arial"/>
          <w:szCs w:val="22"/>
        </w:rPr>
        <w:t xml:space="preserve">The </w:t>
      </w:r>
      <w:r w:rsidR="00371965">
        <w:rPr>
          <w:rFonts w:ascii="Arial" w:hAnsi="Arial" w:cs="Arial"/>
          <w:szCs w:val="22"/>
        </w:rPr>
        <w:t>Budget made a number of announcements relevant to local government, the most significant of which included:</w:t>
      </w:r>
    </w:p>
    <w:p w14:paraId="3799F05B" w14:textId="77777777" w:rsidR="00371965" w:rsidRDefault="00371965" w:rsidP="00371965">
      <w:pPr>
        <w:pStyle w:val="ListParagraph"/>
        <w:ind w:left="360"/>
        <w:rPr>
          <w:rFonts w:ascii="Arial" w:hAnsi="Arial" w:cs="Arial"/>
          <w:szCs w:val="22"/>
        </w:rPr>
      </w:pPr>
    </w:p>
    <w:p w14:paraId="27A69BBE" w14:textId="74CEC768" w:rsidR="00371965" w:rsidRDefault="00B62BA4" w:rsidP="00371965">
      <w:pPr>
        <w:pStyle w:val="ListParagraph"/>
        <w:numPr>
          <w:ilvl w:val="1"/>
          <w:numId w:val="2"/>
        </w:numPr>
        <w:rPr>
          <w:rFonts w:ascii="Arial" w:hAnsi="Arial" w:cs="Arial"/>
          <w:szCs w:val="22"/>
        </w:rPr>
      </w:pPr>
      <w:r>
        <w:rPr>
          <w:rFonts w:ascii="Arial" w:hAnsi="Arial" w:cs="Arial"/>
          <w:szCs w:val="22"/>
        </w:rPr>
        <w:t xml:space="preserve">£2 billion </w:t>
      </w:r>
      <w:r w:rsidR="004F58FC">
        <w:rPr>
          <w:rFonts w:ascii="Arial" w:hAnsi="Arial" w:cs="Arial"/>
          <w:szCs w:val="22"/>
        </w:rPr>
        <w:t xml:space="preserve">of </w:t>
      </w:r>
      <w:r>
        <w:rPr>
          <w:rFonts w:ascii="Arial" w:hAnsi="Arial" w:cs="Arial"/>
          <w:szCs w:val="22"/>
        </w:rPr>
        <w:t>new funding for adult social care over the next three years</w:t>
      </w:r>
      <w:r w:rsidR="00371965">
        <w:rPr>
          <w:rFonts w:ascii="Arial" w:hAnsi="Arial" w:cs="Arial"/>
          <w:szCs w:val="22"/>
        </w:rPr>
        <w:t xml:space="preserve"> </w:t>
      </w:r>
      <w:r>
        <w:rPr>
          <w:rFonts w:ascii="Arial" w:hAnsi="Arial" w:cs="Arial"/>
          <w:szCs w:val="22"/>
        </w:rPr>
        <w:t>to “fund care packages for more people, support social care providers, and relieve pressure on the NHS locally”</w:t>
      </w:r>
      <w:r w:rsidR="00371965">
        <w:rPr>
          <w:rFonts w:ascii="Arial" w:hAnsi="Arial" w:cs="Arial"/>
          <w:szCs w:val="22"/>
        </w:rPr>
        <w:t xml:space="preserve"> </w:t>
      </w:r>
      <w:r w:rsidR="0015740E">
        <w:rPr>
          <w:rFonts w:ascii="Arial" w:hAnsi="Arial" w:cs="Arial"/>
          <w:szCs w:val="22"/>
        </w:rPr>
        <w:t>(see section below)</w:t>
      </w:r>
      <w:r w:rsidR="003A3CC9">
        <w:rPr>
          <w:rFonts w:ascii="Arial" w:hAnsi="Arial" w:cs="Arial"/>
          <w:szCs w:val="22"/>
        </w:rPr>
        <w:t>.</w:t>
      </w:r>
    </w:p>
    <w:p w14:paraId="0AE339C8" w14:textId="77777777" w:rsidR="0015740E" w:rsidRDefault="0015740E" w:rsidP="0015740E">
      <w:pPr>
        <w:pStyle w:val="ListParagraph"/>
        <w:ind w:left="1080"/>
        <w:rPr>
          <w:rFonts w:ascii="Arial" w:hAnsi="Arial" w:cs="Arial"/>
          <w:szCs w:val="22"/>
        </w:rPr>
      </w:pPr>
    </w:p>
    <w:p w14:paraId="3DB182D8" w14:textId="40A16676" w:rsidR="00371965" w:rsidRDefault="00371965" w:rsidP="00371965">
      <w:pPr>
        <w:pStyle w:val="ListParagraph"/>
        <w:numPr>
          <w:ilvl w:val="1"/>
          <w:numId w:val="2"/>
        </w:numPr>
        <w:rPr>
          <w:rFonts w:ascii="Arial" w:hAnsi="Arial" w:cs="Arial"/>
          <w:szCs w:val="22"/>
        </w:rPr>
      </w:pPr>
      <w:r>
        <w:rPr>
          <w:rFonts w:ascii="Arial" w:hAnsi="Arial" w:cs="Arial"/>
          <w:szCs w:val="22"/>
        </w:rPr>
        <w:t>A new Green Paper for adult social care “to put the system on a more secure and sustainable long term footing”</w:t>
      </w:r>
      <w:r w:rsidR="0015740E">
        <w:rPr>
          <w:rFonts w:ascii="Arial" w:hAnsi="Arial" w:cs="Arial"/>
          <w:szCs w:val="22"/>
        </w:rPr>
        <w:t xml:space="preserve"> (see section below)</w:t>
      </w:r>
      <w:r w:rsidR="003A3CC9">
        <w:rPr>
          <w:rFonts w:ascii="Arial" w:hAnsi="Arial" w:cs="Arial"/>
          <w:szCs w:val="22"/>
        </w:rPr>
        <w:t>.</w:t>
      </w:r>
    </w:p>
    <w:p w14:paraId="41AE4F2D" w14:textId="77777777" w:rsidR="0015740E" w:rsidRDefault="0015740E" w:rsidP="0015740E">
      <w:pPr>
        <w:pStyle w:val="ListParagraph"/>
        <w:ind w:left="1080"/>
        <w:rPr>
          <w:rFonts w:ascii="Arial" w:hAnsi="Arial" w:cs="Arial"/>
          <w:szCs w:val="22"/>
        </w:rPr>
      </w:pPr>
    </w:p>
    <w:p w14:paraId="1E33FC2E" w14:textId="77777777" w:rsidR="0015740E" w:rsidRPr="003A3CC9" w:rsidRDefault="0015740E" w:rsidP="0015740E">
      <w:pPr>
        <w:pStyle w:val="ListParagraph"/>
        <w:numPr>
          <w:ilvl w:val="1"/>
          <w:numId w:val="2"/>
        </w:numPr>
        <w:rPr>
          <w:rFonts w:ascii="Arial" w:hAnsi="Arial" w:cs="Arial"/>
          <w:szCs w:val="22"/>
        </w:rPr>
      </w:pPr>
      <w:r w:rsidRPr="003A3CC9">
        <w:rPr>
          <w:rFonts w:ascii="Arial" w:hAnsi="Arial" w:cs="Arial"/>
          <w:szCs w:val="22"/>
        </w:rPr>
        <w:t xml:space="preserve">A package of support, worth in total £435 million for businesses in England facing significant increases in business rates bills from April 2017, as a result of the revaluation: </w:t>
      </w:r>
    </w:p>
    <w:p w14:paraId="4B5E25AF" w14:textId="77777777" w:rsidR="0015740E" w:rsidRPr="003A3CC9" w:rsidRDefault="0015740E" w:rsidP="0015740E">
      <w:pPr>
        <w:pStyle w:val="ListParagraph"/>
        <w:ind w:left="1080"/>
        <w:rPr>
          <w:rFonts w:ascii="Arial" w:hAnsi="Arial" w:cs="Arial"/>
          <w:szCs w:val="22"/>
        </w:rPr>
      </w:pPr>
    </w:p>
    <w:p w14:paraId="75D89485" w14:textId="77777777" w:rsidR="0015740E" w:rsidRDefault="0015740E" w:rsidP="0015740E">
      <w:pPr>
        <w:pStyle w:val="ListParagraph"/>
        <w:numPr>
          <w:ilvl w:val="2"/>
          <w:numId w:val="2"/>
        </w:numPr>
        <w:rPr>
          <w:rFonts w:ascii="Arial" w:hAnsi="Arial" w:cs="Arial"/>
          <w:szCs w:val="22"/>
        </w:rPr>
      </w:pPr>
      <w:r w:rsidRPr="003A3CC9">
        <w:rPr>
          <w:rFonts w:ascii="Arial" w:hAnsi="Arial" w:cs="Arial"/>
          <w:szCs w:val="22"/>
        </w:rPr>
        <w:t xml:space="preserve">Support for small businesses whose eligibility for Small Business Rate Relief has reduced or ended as a result of the revaluation. </w:t>
      </w:r>
    </w:p>
    <w:p w14:paraId="06793A3C" w14:textId="77777777" w:rsidR="00F57CFF" w:rsidRPr="003A3CC9" w:rsidRDefault="00F57CFF" w:rsidP="00F57CFF">
      <w:pPr>
        <w:pStyle w:val="ListParagraph"/>
        <w:ind w:left="1474"/>
        <w:rPr>
          <w:rFonts w:ascii="Arial" w:hAnsi="Arial" w:cs="Arial"/>
          <w:szCs w:val="22"/>
        </w:rPr>
      </w:pPr>
    </w:p>
    <w:p w14:paraId="10C6AC61" w14:textId="77777777" w:rsidR="0015740E" w:rsidRDefault="0015740E" w:rsidP="0015740E">
      <w:pPr>
        <w:pStyle w:val="ListParagraph"/>
        <w:numPr>
          <w:ilvl w:val="2"/>
          <w:numId w:val="2"/>
        </w:numPr>
        <w:rPr>
          <w:rFonts w:ascii="Arial" w:hAnsi="Arial" w:cs="Arial"/>
          <w:szCs w:val="22"/>
        </w:rPr>
      </w:pPr>
      <w:r w:rsidRPr="003A3CC9">
        <w:rPr>
          <w:rFonts w:ascii="Arial" w:hAnsi="Arial" w:cs="Arial"/>
          <w:szCs w:val="22"/>
        </w:rPr>
        <w:t xml:space="preserve">Funding for local authorities to support £300 million of discretionary business rates relief between 2017/18 and 2020/21. </w:t>
      </w:r>
    </w:p>
    <w:p w14:paraId="64CAAB1C" w14:textId="63386123" w:rsidR="00F57CFF" w:rsidRPr="00F57CFF" w:rsidRDefault="00F57CFF" w:rsidP="00F57CFF">
      <w:pPr>
        <w:pStyle w:val="ListParagraph"/>
        <w:rPr>
          <w:rFonts w:ascii="Arial" w:hAnsi="Arial" w:cs="Arial"/>
          <w:szCs w:val="22"/>
        </w:rPr>
      </w:pPr>
    </w:p>
    <w:p w14:paraId="30CFB4AB" w14:textId="77777777" w:rsidR="0015740E" w:rsidRPr="003A3CC9" w:rsidRDefault="0015740E" w:rsidP="0015740E">
      <w:pPr>
        <w:pStyle w:val="ListParagraph"/>
        <w:numPr>
          <w:ilvl w:val="2"/>
          <w:numId w:val="2"/>
        </w:numPr>
        <w:rPr>
          <w:rFonts w:ascii="Arial" w:hAnsi="Arial" w:cs="Arial"/>
          <w:szCs w:val="22"/>
        </w:rPr>
      </w:pPr>
      <w:r w:rsidRPr="003A3CC9">
        <w:rPr>
          <w:rFonts w:ascii="Arial" w:hAnsi="Arial" w:cs="Arial"/>
          <w:szCs w:val="22"/>
        </w:rPr>
        <w:t>A £1,000 business rate discount for pubs with a rateable value up to £100,000, subject to State Aid limits.</w:t>
      </w:r>
    </w:p>
    <w:p w14:paraId="2B52DD23" w14:textId="77777777" w:rsidR="0015740E" w:rsidRPr="003A3CC9" w:rsidRDefault="0015740E" w:rsidP="0015740E">
      <w:pPr>
        <w:pStyle w:val="ListParagraph"/>
        <w:ind w:left="1080"/>
        <w:rPr>
          <w:rFonts w:ascii="Arial" w:hAnsi="Arial" w:cs="Arial"/>
          <w:szCs w:val="22"/>
        </w:rPr>
      </w:pPr>
    </w:p>
    <w:p w14:paraId="24FA5977" w14:textId="77777777" w:rsidR="0015740E" w:rsidRPr="003A3CC9" w:rsidRDefault="0015740E" w:rsidP="000400DA">
      <w:pPr>
        <w:pStyle w:val="ListParagraph"/>
        <w:numPr>
          <w:ilvl w:val="1"/>
          <w:numId w:val="2"/>
        </w:numPr>
        <w:rPr>
          <w:rFonts w:ascii="Arial" w:hAnsi="Arial" w:cs="Arial"/>
          <w:szCs w:val="22"/>
        </w:rPr>
      </w:pPr>
      <w:r w:rsidRPr="003A3CC9">
        <w:rPr>
          <w:rFonts w:ascii="Arial" w:hAnsi="Arial" w:cs="Arial"/>
          <w:szCs w:val="22"/>
        </w:rPr>
        <w:lastRenderedPageBreak/>
        <w:t xml:space="preserve">The Government will fully compensate local government for the loss of income as a result of these measures. </w:t>
      </w:r>
    </w:p>
    <w:p w14:paraId="4A2C5392" w14:textId="77777777" w:rsidR="0015740E" w:rsidRPr="00CC3C81" w:rsidRDefault="0015740E" w:rsidP="0015740E">
      <w:pPr>
        <w:pStyle w:val="ListParagraph"/>
        <w:ind w:left="1080"/>
        <w:rPr>
          <w:rFonts w:ascii="Arial" w:hAnsi="Arial" w:cs="Arial"/>
          <w:szCs w:val="22"/>
          <w:highlight w:val="yellow"/>
        </w:rPr>
      </w:pPr>
    </w:p>
    <w:p w14:paraId="29D08DA9" w14:textId="77777777" w:rsidR="00371965" w:rsidRDefault="00371965" w:rsidP="00371965">
      <w:pPr>
        <w:pStyle w:val="ListParagraph"/>
        <w:numPr>
          <w:ilvl w:val="1"/>
          <w:numId w:val="2"/>
        </w:numPr>
        <w:rPr>
          <w:rFonts w:ascii="Arial" w:hAnsi="Arial" w:cs="Arial"/>
          <w:szCs w:val="22"/>
        </w:rPr>
      </w:pPr>
      <w:r>
        <w:rPr>
          <w:rFonts w:ascii="Arial" w:hAnsi="Arial" w:cs="Arial"/>
          <w:szCs w:val="22"/>
        </w:rPr>
        <w:t>Investment of £320 million to fund up to 140 free schools, and £216 million to improve the condition of the school estate.</w:t>
      </w:r>
    </w:p>
    <w:p w14:paraId="33EB8ABA" w14:textId="72D6BFBC" w:rsidR="000400DA" w:rsidRPr="000400DA" w:rsidRDefault="000400DA" w:rsidP="000400DA">
      <w:pPr>
        <w:pStyle w:val="ListParagraph"/>
        <w:rPr>
          <w:rFonts w:ascii="Arial" w:hAnsi="Arial" w:cs="Arial"/>
          <w:szCs w:val="22"/>
        </w:rPr>
      </w:pPr>
    </w:p>
    <w:p w14:paraId="732517C2" w14:textId="27B1C683" w:rsidR="0015740E" w:rsidRPr="003A3CC9" w:rsidRDefault="00371965" w:rsidP="0015740E">
      <w:pPr>
        <w:pStyle w:val="ListParagraph"/>
        <w:numPr>
          <w:ilvl w:val="1"/>
          <w:numId w:val="2"/>
        </w:numPr>
        <w:jc w:val="both"/>
        <w:rPr>
          <w:rFonts w:ascii="Arial" w:hAnsi="Arial" w:cs="Arial"/>
          <w:szCs w:val="22"/>
        </w:rPr>
      </w:pPr>
      <w:r w:rsidRPr="003A3CC9">
        <w:rPr>
          <w:rFonts w:ascii="Arial" w:hAnsi="Arial" w:cs="Arial"/>
          <w:szCs w:val="22"/>
        </w:rPr>
        <w:t>A new 5G Strategy, including testbeds and trials in b</w:t>
      </w:r>
      <w:r w:rsidR="0015740E" w:rsidRPr="003A3CC9">
        <w:rPr>
          <w:rFonts w:ascii="Arial" w:hAnsi="Arial" w:cs="Arial"/>
          <w:szCs w:val="22"/>
        </w:rPr>
        <w:t xml:space="preserve">oth rural as well as urban areas. Starting in 2017, the Government will also invest £200 million to fund a programme of local projects to test ways to accelerate market delivery of new full-fibre broadband networks. </w:t>
      </w:r>
    </w:p>
    <w:p w14:paraId="40D758F9" w14:textId="7A8DA962" w:rsidR="00371965" w:rsidRPr="003A3CC9" w:rsidRDefault="00371965" w:rsidP="0015740E">
      <w:pPr>
        <w:pStyle w:val="ListParagraph"/>
        <w:ind w:left="1080"/>
        <w:rPr>
          <w:rFonts w:ascii="Arial" w:hAnsi="Arial" w:cs="Arial"/>
          <w:szCs w:val="22"/>
        </w:rPr>
      </w:pPr>
    </w:p>
    <w:p w14:paraId="169596E2" w14:textId="77777777" w:rsidR="0015740E" w:rsidRPr="003A3CC9" w:rsidRDefault="0015740E" w:rsidP="0015740E">
      <w:pPr>
        <w:pStyle w:val="ListParagraph"/>
        <w:numPr>
          <w:ilvl w:val="1"/>
          <w:numId w:val="2"/>
        </w:numPr>
        <w:jc w:val="both"/>
        <w:rPr>
          <w:rFonts w:ascii="Arial" w:hAnsi="Arial" w:cs="Arial"/>
          <w:szCs w:val="22"/>
        </w:rPr>
      </w:pPr>
      <w:r w:rsidRPr="003A3CC9">
        <w:rPr>
          <w:rFonts w:ascii="Arial" w:hAnsi="Arial" w:cs="Arial"/>
          <w:szCs w:val="22"/>
        </w:rPr>
        <w:t>A £690 million fund for new local transport projects, to improve congestion on roads and public transport. Councils will be invited to competitively bid for the money with £490 million made available by early autumn 2017.</w:t>
      </w:r>
    </w:p>
    <w:p w14:paraId="46FEFC90" w14:textId="77777777" w:rsidR="0015740E" w:rsidRPr="00371965" w:rsidRDefault="0015740E" w:rsidP="0015740E">
      <w:pPr>
        <w:pStyle w:val="ListParagraph"/>
        <w:ind w:left="1080"/>
        <w:rPr>
          <w:rFonts w:ascii="Arial" w:hAnsi="Arial" w:cs="Arial"/>
          <w:szCs w:val="22"/>
        </w:rPr>
      </w:pPr>
    </w:p>
    <w:p w14:paraId="7982E755" w14:textId="77777777" w:rsidR="00B62BA4" w:rsidRPr="00B62BA4" w:rsidRDefault="00B62BA4" w:rsidP="00F64D92">
      <w:pPr>
        <w:rPr>
          <w:rFonts w:ascii="Arial" w:hAnsi="Arial" w:cs="Arial"/>
          <w:b/>
          <w:szCs w:val="22"/>
        </w:rPr>
      </w:pPr>
      <w:r>
        <w:rPr>
          <w:rFonts w:ascii="Arial" w:hAnsi="Arial" w:cs="Arial"/>
          <w:b/>
          <w:szCs w:val="22"/>
        </w:rPr>
        <w:t>Activity on the day</w:t>
      </w:r>
    </w:p>
    <w:p w14:paraId="2DF1A6E2" w14:textId="77777777" w:rsidR="00B62BA4" w:rsidRDefault="00B62BA4" w:rsidP="00F64D92">
      <w:pPr>
        <w:rPr>
          <w:rFonts w:ascii="Arial" w:hAnsi="Arial" w:cs="Arial"/>
          <w:szCs w:val="22"/>
        </w:rPr>
      </w:pPr>
    </w:p>
    <w:p w14:paraId="2A9C0172" w14:textId="77777777" w:rsidR="0010077D" w:rsidRDefault="00161699" w:rsidP="007A3EB5">
      <w:pPr>
        <w:pStyle w:val="ListParagraph"/>
        <w:numPr>
          <w:ilvl w:val="0"/>
          <w:numId w:val="2"/>
        </w:numPr>
        <w:rPr>
          <w:rFonts w:ascii="Arial" w:hAnsi="Arial" w:cs="Arial"/>
          <w:szCs w:val="22"/>
        </w:rPr>
      </w:pPr>
      <w:r>
        <w:rPr>
          <w:rFonts w:ascii="Arial" w:hAnsi="Arial" w:cs="Arial"/>
          <w:szCs w:val="22"/>
        </w:rPr>
        <w:t xml:space="preserve">The </w:t>
      </w:r>
      <w:r w:rsidR="00F64D92">
        <w:rPr>
          <w:rFonts w:ascii="Arial" w:hAnsi="Arial" w:cs="Arial"/>
          <w:szCs w:val="22"/>
        </w:rPr>
        <w:t xml:space="preserve">LGA published an </w:t>
      </w:r>
      <w:hyperlink r:id="rId17" w:history="1">
        <w:r w:rsidR="00F64D92" w:rsidRPr="00BF386B">
          <w:rPr>
            <w:rStyle w:val="Hyperlink"/>
            <w:rFonts w:ascii="Arial" w:hAnsi="Arial" w:cs="Arial"/>
            <w:szCs w:val="22"/>
          </w:rPr>
          <w:t>on-the-day briefing</w:t>
        </w:r>
      </w:hyperlink>
      <w:r w:rsidR="00F64D92">
        <w:rPr>
          <w:rFonts w:ascii="Arial" w:hAnsi="Arial" w:cs="Arial"/>
          <w:szCs w:val="22"/>
        </w:rPr>
        <w:t>, highlighting</w:t>
      </w:r>
      <w:r w:rsidR="00F64D92" w:rsidRPr="00F64D92">
        <w:rPr>
          <w:rFonts w:ascii="Arial" w:hAnsi="Arial" w:cs="Arial"/>
          <w:szCs w:val="22"/>
        </w:rPr>
        <w:t xml:space="preserve"> </w:t>
      </w:r>
      <w:r w:rsidR="004F58FC">
        <w:rPr>
          <w:rFonts w:ascii="Arial" w:hAnsi="Arial" w:cs="Arial"/>
          <w:szCs w:val="22"/>
        </w:rPr>
        <w:t>all</w:t>
      </w:r>
      <w:r w:rsidR="00F64D92" w:rsidRPr="00F64D92">
        <w:rPr>
          <w:rFonts w:ascii="Arial" w:hAnsi="Arial" w:cs="Arial"/>
          <w:szCs w:val="22"/>
        </w:rPr>
        <w:t xml:space="preserve"> key announcements relevant to local government.</w:t>
      </w:r>
      <w:r w:rsidR="00F64D92">
        <w:rPr>
          <w:rFonts w:ascii="Arial" w:hAnsi="Arial" w:cs="Arial"/>
          <w:szCs w:val="22"/>
        </w:rPr>
        <w:t xml:space="preserve"> This was circulated to member authorities as well as </w:t>
      </w:r>
      <w:r w:rsidR="00F64D92" w:rsidRPr="00F64D92">
        <w:rPr>
          <w:rFonts w:ascii="Arial" w:hAnsi="Arial" w:cs="Arial"/>
          <w:szCs w:val="22"/>
        </w:rPr>
        <w:t>MPs and Peers</w:t>
      </w:r>
      <w:r>
        <w:rPr>
          <w:rFonts w:ascii="Arial" w:hAnsi="Arial" w:cs="Arial"/>
          <w:szCs w:val="22"/>
        </w:rPr>
        <w:t>,</w:t>
      </w:r>
      <w:r w:rsidR="00F64D92" w:rsidRPr="00F64D92">
        <w:rPr>
          <w:rFonts w:ascii="Arial" w:hAnsi="Arial" w:cs="Arial"/>
          <w:szCs w:val="22"/>
        </w:rPr>
        <w:t xml:space="preserve"> including our Vice Presidents</w:t>
      </w:r>
      <w:r>
        <w:rPr>
          <w:rFonts w:ascii="Arial" w:hAnsi="Arial" w:cs="Arial"/>
          <w:szCs w:val="22"/>
        </w:rPr>
        <w:t>,</w:t>
      </w:r>
      <w:r w:rsidR="00F64D92" w:rsidRPr="00F64D92">
        <w:rPr>
          <w:rFonts w:ascii="Arial" w:hAnsi="Arial" w:cs="Arial"/>
          <w:szCs w:val="22"/>
        </w:rPr>
        <w:t xml:space="preserve"> and selected stakeholders</w:t>
      </w:r>
      <w:r w:rsidR="00F64D92">
        <w:rPr>
          <w:rFonts w:ascii="Arial" w:hAnsi="Arial" w:cs="Arial"/>
          <w:szCs w:val="22"/>
        </w:rPr>
        <w:t xml:space="preserve">. </w:t>
      </w:r>
    </w:p>
    <w:p w14:paraId="3DF047FC" w14:textId="77777777" w:rsidR="0010077D" w:rsidRDefault="0010077D" w:rsidP="0010077D">
      <w:pPr>
        <w:pStyle w:val="ListParagraph"/>
        <w:ind w:left="360"/>
        <w:rPr>
          <w:rFonts w:ascii="Arial" w:hAnsi="Arial" w:cs="Arial"/>
          <w:szCs w:val="22"/>
        </w:rPr>
      </w:pPr>
    </w:p>
    <w:p w14:paraId="460652A8" w14:textId="77777777" w:rsidR="0010077D" w:rsidRDefault="0010077D" w:rsidP="007A3EB5">
      <w:pPr>
        <w:pStyle w:val="ListParagraph"/>
        <w:numPr>
          <w:ilvl w:val="0"/>
          <w:numId w:val="2"/>
        </w:numPr>
        <w:rPr>
          <w:rFonts w:ascii="Arial" w:hAnsi="Arial" w:cs="Arial"/>
          <w:szCs w:val="22"/>
        </w:rPr>
      </w:pPr>
      <w:r>
        <w:rPr>
          <w:rFonts w:ascii="Arial" w:hAnsi="Arial" w:cs="Arial"/>
          <w:szCs w:val="22"/>
        </w:rPr>
        <w:t>The LGA also published a series of press releases covering the following announcements:</w:t>
      </w:r>
    </w:p>
    <w:p w14:paraId="7B9DD523" w14:textId="77777777" w:rsidR="0010077D" w:rsidRPr="0010077D" w:rsidRDefault="0010077D" w:rsidP="0010077D">
      <w:pPr>
        <w:pStyle w:val="ListParagraph"/>
        <w:rPr>
          <w:rFonts w:ascii="Arial" w:hAnsi="Arial" w:cs="Arial"/>
          <w:szCs w:val="22"/>
        </w:rPr>
      </w:pPr>
    </w:p>
    <w:p w14:paraId="7106A54F" w14:textId="77777777" w:rsidR="0010077D" w:rsidRDefault="004F58FC" w:rsidP="0010077D">
      <w:pPr>
        <w:pStyle w:val="ListParagraph"/>
        <w:numPr>
          <w:ilvl w:val="1"/>
          <w:numId w:val="2"/>
        </w:numPr>
        <w:rPr>
          <w:rFonts w:ascii="Arial" w:hAnsi="Arial" w:cs="Arial"/>
          <w:szCs w:val="22"/>
        </w:rPr>
      </w:pPr>
      <w:r>
        <w:rPr>
          <w:rFonts w:ascii="Arial" w:hAnsi="Arial" w:cs="Arial"/>
          <w:szCs w:val="22"/>
        </w:rPr>
        <w:t>An</w:t>
      </w:r>
      <w:r w:rsidR="0010077D">
        <w:rPr>
          <w:rFonts w:ascii="Arial" w:hAnsi="Arial" w:cs="Arial"/>
          <w:szCs w:val="22"/>
        </w:rPr>
        <w:t xml:space="preserve"> additional £2 billion for adult social care</w:t>
      </w:r>
      <w:r>
        <w:rPr>
          <w:rFonts w:ascii="Arial" w:hAnsi="Arial" w:cs="Arial"/>
          <w:szCs w:val="22"/>
        </w:rPr>
        <w:t xml:space="preserve"> spread out over the next three years</w:t>
      </w:r>
      <w:r w:rsidR="0010077D">
        <w:rPr>
          <w:rFonts w:ascii="Arial" w:hAnsi="Arial" w:cs="Arial"/>
          <w:szCs w:val="22"/>
        </w:rPr>
        <w:t>.</w:t>
      </w:r>
    </w:p>
    <w:p w14:paraId="38B64EA0" w14:textId="77777777" w:rsidR="00F57CFF" w:rsidRDefault="00F57CFF" w:rsidP="00F57CFF">
      <w:pPr>
        <w:pStyle w:val="ListParagraph"/>
        <w:ind w:left="907"/>
        <w:rPr>
          <w:rFonts w:ascii="Arial" w:hAnsi="Arial" w:cs="Arial"/>
          <w:szCs w:val="22"/>
        </w:rPr>
      </w:pPr>
    </w:p>
    <w:p w14:paraId="2700C2CF" w14:textId="77777777" w:rsidR="0010077D" w:rsidRDefault="004F58FC" w:rsidP="0010077D">
      <w:pPr>
        <w:pStyle w:val="ListParagraph"/>
        <w:numPr>
          <w:ilvl w:val="1"/>
          <w:numId w:val="2"/>
        </w:numPr>
        <w:rPr>
          <w:rFonts w:ascii="Arial" w:hAnsi="Arial" w:cs="Arial"/>
          <w:szCs w:val="22"/>
        </w:rPr>
      </w:pPr>
      <w:r>
        <w:rPr>
          <w:rFonts w:ascii="Arial" w:hAnsi="Arial" w:cs="Arial"/>
          <w:szCs w:val="22"/>
        </w:rPr>
        <w:t>£300 million to provide discretionary business rates relief.</w:t>
      </w:r>
    </w:p>
    <w:p w14:paraId="742E5760" w14:textId="4ABABDC2" w:rsidR="00F57CFF" w:rsidRPr="00F57CFF" w:rsidRDefault="00F57CFF" w:rsidP="00F57CFF">
      <w:pPr>
        <w:pStyle w:val="ListParagraph"/>
        <w:rPr>
          <w:rFonts w:ascii="Arial" w:hAnsi="Arial" w:cs="Arial"/>
          <w:szCs w:val="22"/>
        </w:rPr>
      </w:pPr>
    </w:p>
    <w:p w14:paraId="633E4375" w14:textId="77777777" w:rsidR="004F58FC" w:rsidRDefault="004F58FC" w:rsidP="0010077D">
      <w:pPr>
        <w:pStyle w:val="ListParagraph"/>
        <w:numPr>
          <w:ilvl w:val="1"/>
          <w:numId w:val="2"/>
        </w:numPr>
        <w:rPr>
          <w:rFonts w:ascii="Arial" w:hAnsi="Arial" w:cs="Arial"/>
          <w:szCs w:val="22"/>
        </w:rPr>
      </w:pPr>
      <w:r>
        <w:rPr>
          <w:rFonts w:ascii="Arial" w:hAnsi="Arial" w:cs="Arial"/>
          <w:szCs w:val="22"/>
        </w:rPr>
        <w:t>Funding for school maintenance and new school places.</w:t>
      </w:r>
    </w:p>
    <w:p w14:paraId="0489692F" w14:textId="2D6F8C0E" w:rsidR="00F57CFF" w:rsidRPr="00F57CFF" w:rsidRDefault="00F57CFF" w:rsidP="00F57CFF">
      <w:pPr>
        <w:pStyle w:val="ListParagraph"/>
        <w:rPr>
          <w:rFonts w:ascii="Arial" w:hAnsi="Arial" w:cs="Arial"/>
          <w:szCs w:val="22"/>
        </w:rPr>
      </w:pPr>
    </w:p>
    <w:p w14:paraId="66AECB8C" w14:textId="77777777" w:rsidR="004F58FC" w:rsidRDefault="004F58FC" w:rsidP="0010077D">
      <w:pPr>
        <w:pStyle w:val="ListParagraph"/>
        <w:numPr>
          <w:ilvl w:val="1"/>
          <w:numId w:val="2"/>
        </w:numPr>
        <w:rPr>
          <w:rFonts w:ascii="Arial" w:hAnsi="Arial" w:cs="Arial"/>
          <w:szCs w:val="22"/>
        </w:rPr>
      </w:pPr>
      <w:r>
        <w:rPr>
          <w:rFonts w:ascii="Arial" w:hAnsi="Arial" w:cs="Arial"/>
          <w:szCs w:val="22"/>
        </w:rPr>
        <w:t>5G technology and broadband projects.</w:t>
      </w:r>
    </w:p>
    <w:p w14:paraId="4819AECA" w14:textId="77777777" w:rsidR="00F57CFF" w:rsidRPr="00F57CFF" w:rsidRDefault="00F57CFF" w:rsidP="00F57CFF">
      <w:pPr>
        <w:ind w:left="360"/>
        <w:rPr>
          <w:rFonts w:ascii="Arial" w:hAnsi="Arial" w:cs="Arial"/>
          <w:szCs w:val="22"/>
        </w:rPr>
      </w:pPr>
    </w:p>
    <w:p w14:paraId="5AC3B737" w14:textId="77777777" w:rsidR="004F58FC" w:rsidRDefault="004F58FC" w:rsidP="0010077D">
      <w:pPr>
        <w:pStyle w:val="ListParagraph"/>
        <w:numPr>
          <w:ilvl w:val="1"/>
          <w:numId w:val="2"/>
        </w:numPr>
        <w:rPr>
          <w:rFonts w:ascii="Arial" w:hAnsi="Arial" w:cs="Arial"/>
          <w:szCs w:val="22"/>
        </w:rPr>
      </w:pPr>
      <w:r>
        <w:rPr>
          <w:rFonts w:ascii="Arial" w:hAnsi="Arial" w:cs="Arial"/>
          <w:szCs w:val="22"/>
        </w:rPr>
        <w:t>Competitive allocation of £690 million to tackle urban congestion.</w:t>
      </w:r>
    </w:p>
    <w:p w14:paraId="21588E67" w14:textId="77777777" w:rsidR="00135FDF" w:rsidRDefault="00135FDF" w:rsidP="00135FDF">
      <w:pPr>
        <w:pStyle w:val="ListParagraph"/>
        <w:ind w:left="1080"/>
        <w:rPr>
          <w:rFonts w:ascii="Arial" w:hAnsi="Arial" w:cs="Arial"/>
          <w:szCs w:val="22"/>
        </w:rPr>
      </w:pPr>
    </w:p>
    <w:p w14:paraId="5D5BBB97" w14:textId="77777777" w:rsidR="00135FDF" w:rsidRPr="00135FDF" w:rsidRDefault="00135FDF" w:rsidP="00135FDF">
      <w:pPr>
        <w:pStyle w:val="ListParagraph"/>
        <w:numPr>
          <w:ilvl w:val="0"/>
          <w:numId w:val="2"/>
        </w:numPr>
        <w:rPr>
          <w:rFonts w:ascii="Arial" w:hAnsi="Arial" w:cs="Arial"/>
          <w:szCs w:val="22"/>
        </w:rPr>
      </w:pPr>
      <w:r w:rsidRPr="00135FDF">
        <w:rPr>
          <w:rFonts w:ascii="Arial" w:hAnsi="Arial" w:cs="Arial"/>
          <w:szCs w:val="22"/>
        </w:rPr>
        <w:t>LGA officers are following up with departmental officials on the detail of the announcements and providing further briefings and responses as required.</w:t>
      </w:r>
    </w:p>
    <w:p w14:paraId="23387636" w14:textId="77777777" w:rsidR="007D581B" w:rsidRDefault="007D581B" w:rsidP="007D581B">
      <w:pPr>
        <w:rPr>
          <w:rFonts w:ascii="Arial" w:hAnsi="Arial" w:cs="Arial"/>
          <w:szCs w:val="22"/>
        </w:rPr>
      </w:pPr>
    </w:p>
    <w:p w14:paraId="481BADBD" w14:textId="77777777" w:rsidR="007D581B" w:rsidRDefault="00135FDF" w:rsidP="007D581B">
      <w:pPr>
        <w:rPr>
          <w:rFonts w:ascii="Arial" w:hAnsi="Arial" w:cs="Arial"/>
          <w:b/>
          <w:szCs w:val="22"/>
        </w:rPr>
      </w:pPr>
      <w:r>
        <w:rPr>
          <w:rFonts w:ascii="Arial" w:hAnsi="Arial" w:cs="Arial"/>
          <w:b/>
          <w:szCs w:val="22"/>
        </w:rPr>
        <w:t>Adult social care funding: f</w:t>
      </w:r>
      <w:r w:rsidR="007D581B">
        <w:rPr>
          <w:rFonts w:ascii="Arial" w:hAnsi="Arial" w:cs="Arial"/>
          <w:b/>
          <w:szCs w:val="22"/>
        </w:rPr>
        <w:t>urther detail and subsequent activity</w:t>
      </w:r>
    </w:p>
    <w:p w14:paraId="68E5075F" w14:textId="77777777" w:rsidR="007D581B" w:rsidRDefault="007D581B" w:rsidP="007D581B">
      <w:pPr>
        <w:rPr>
          <w:rFonts w:ascii="Arial" w:hAnsi="Arial" w:cs="Arial"/>
          <w:b/>
          <w:szCs w:val="22"/>
        </w:rPr>
      </w:pPr>
    </w:p>
    <w:p w14:paraId="3558ADF1" w14:textId="77777777" w:rsidR="00CE17C3" w:rsidRDefault="00CE17C3" w:rsidP="007A0DFD">
      <w:pPr>
        <w:pStyle w:val="ListParagraph"/>
        <w:numPr>
          <w:ilvl w:val="0"/>
          <w:numId w:val="2"/>
        </w:numPr>
        <w:jc w:val="both"/>
        <w:rPr>
          <w:rFonts w:ascii="Arial" w:hAnsi="Arial" w:cs="Arial"/>
          <w:szCs w:val="22"/>
        </w:rPr>
      </w:pPr>
      <w:r>
        <w:rPr>
          <w:rFonts w:ascii="Arial" w:hAnsi="Arial" w:cs="Arial"/>
          <w:szCs w:val="22"/>
        </w:rPr>
        <w:t xml:space="preserve">The LGA has been </w:t>
      </w:r>
      <w:r w:rsidR="00135FDF">
        <w:rPr>
          <w:rFonts w:ascii="Arial" w:hAnsi="Arial" w:cs="Arial"/>
          <w:szCs w:val="22"/>
        </w:rPr>
        <w:t>leading national efforts to highlight</w:t>
      </w:r>
      <w:r>
        <w:rPr>
          <w:rFonts w:ascii="Arial" w:hAnsi="Arial" w:cs="Arial"/>
          <w:szCs w:val="22"/>
        </w:rPr>
        <w:t xml:space="preserve"> the financial and operational pressures facing adult social care services. </w:t>
      </w:r>
      <w:r w:rsidR="007D581B">
        <w:rPr>
          <w:rFonts w:ascii="Arial" w:hAnsi="Arial" w:cs="Arial"/>
          <w:szCs w:val="22"/>
        </w:rPr>
        <w:t>Ahead of the Budget</w:t>
      </w:r>
      <w:r>
        <w:rPr>
          <w:rFonts w:ascii="Arial" w:hAnsi="Arial" w:cs="Arial"/>
          <w:szCs w:val="22"/>
        </w:rPr>
        <w:t xml:space="preserve"> we warned that by the end of the decade the service would face a funding gap of at least £1.3 billion</w:t>
      </w:r>
      <w:r w:rsidR="007D581B">
        <w:rPr>
          <w:rFonts w:ascii="Arial" w:hAnsi="Arial" w:cs="Arial"/>
          <w:szCs w:val="22"/>
        </w:rPr>
        <w:t xml:space="preserve">, </w:t>
      </w:r>
      <w:r>
        <w:rPr>
          <w:rFonts w:ascii="Arial" w:hAnsi="Arial" w:cs="Arial"/>
          <w:szCs w:val="22"/>
        </w:rPr>
        <w:t>on top of pre-existing pressures in the provider market worth at least another £1.3 billion.</w:t>
      </w:r>
    </w:p>
    <w:p w14:paraId="2615B5A4" w14:textId="77777777" w:rsidR="00CE17C3" w:rsidRDefault="00CE17C3" w:rsidP="007A0DFD">
      <w:pPr>
        <w:pStyle w:val="ListParagraph"/>
        <w:ind w:left="360"/>
        <w:rPr>
          <w:rFonts w:ascii="Arial" w:hAnsi="Arial" w:cs="Arial"/>
          <w:szCs w:val="22"/>
        </w:rPr>
      </w:pPr>
    </w:p>
    <w:p w14:paraId="29E62C2C" w14:textId="46859837" w:rsidR="007D581B" w:rsidRDefault="007D581B" w:rsidP="007D581B">
      <w:pPr>
        <w:pStyle w:val="ListParagraph"/>
        <w:numPr>
          <w:ilvl w:val="0"/>
          <w:numId w:val="2"/>
        </w:numPr>
        <w:rPr>
          <w:rFonts w:ascii="Arial" w:hAnsi="Arial" w:cs="Arial"/>
          <w:szCs w:val="22"/>
        </w:rPr>
      </w:pPr>
      <w:r>
        <w:rPr>
          <w:rFonts w:ascii="Arial" w:hAnsi="Arial" w:cs="Arial"/>
          <w:szCs w:val="22"/>
        </w:rPr>
        <w:t xml:space="preserve">The </w:t>
      </w:r>
      <w:r w:rsidR="00FA14AE" w:rsidRPr="00FA14AE">
        <w:rPr>
          <w:rFonts w:ascii="Arial" w:hAnsi="Arial" w:cs="Arial"/>
          <w:szCs w:val="22"/>
        </w:rPr>
        <w:t xml:space="preserve">additional £2 billion </w:t>
      </w:r>
      <w:r>
        <w:rPr>
          <w:rFonts w:ascii="Arial" w:hAnsi="Arial" w:cs="Arial"/>
          <w:szCs w:val="22"/>
        </w:rPr>
        <w:t xml:space="preserve">for adult social care is new money that is </w:t>
      </w:r>
      <w:r w:rsidR="00FA14AE">
        <w:rPr>
          <w:rFonts w:ascii="Arial" w:hAnsi="Arial" w:cs="Arial"/>
          <w:szCs w:val="22"/>
        </w:rPr>
        <w:t>front-loaded to supplement the funding from the improved Better Care Fund</w:t>
      </w:r>
      <w:r w:rsidR="008D51D1">
        <w:rPr>
          <w:rFonts w:ascii="Arial" w:hAnsi="Arial" w:cs="Arial"/>
          <w:szCs w:val="22"/>
        </w:rPr>
        <w:t xml:space="preserve"> (iBCF)</w:t>
      </w:r>
      <w:r w:rsidR="0043679B">
        <w:rPr>
          <w:rFonts w:ascii="Arial" w:hAnsi="Arial" w:cs="Arial"/>
          <w:szCs w:val="22"/>
        </w:rPr>
        <w:t>. The additional funding will be worth £1.010 billion in 2017/18, £674 million in 2018/19 and £</w:t>
      </w:r>
      <w:r w:rsidR="0015740E" w:rsidRPr="003A3CC9">
        <w:rPr>
          <w:rFonts w:ascii="Arial" w:hAnsi="Arial" w:cs="Arial"/>
          <w:szCs w:val="22"/>
        </w:rPr>
        <w:t>3</w:t>
      </w:r>
      <w:r w:rsidR="0043679B" w:rsidRPr="003A3CC9">
        <w:rPr>
          <w:rFonts w:ascii="Arial" w:hAnsi="Arial" w:cs="Arial"/>
          <w:szCs w:val="22"/>
        </w:rPr>
        <w:t>37</w:t>
      </w:r>
      <w:r w:rsidR="0043679B">
        <w:rPr>
          <w:rFonts w:ascii="Arial" w:hAnsi="Arial" w:cs="Arial"/>
          <w:szCs w:val="22"/>
        </w:rPr>
        <w:t xml:space="preserve"> million in 2019/20</w:t>
      </w:r>
      <w:r w:rsidR="00FA14AE">
        <w:rPr>
          <w:rFonts w:ascii="Arial" w:hAnsi="Arial" w:cs="Arial"/>
          <w:szCs w:val="22"/>
        </w:rPr>
        <w:t>.</w:t>
      </w:r>
      <w:r w:rsidR="008D51D1">
        <w:rPr>
          <w:rFonts w:ascii="Arial" w:hAnsi="Arial" w:cs="Arial"/>
          <w:szCs w:val="22"/>
        </w:rPr>
        <w:t xml:space="preserve"> </w:t>
      </w:r>
    </w:p>
    <w:p w14:paraId="7E39546B" w14:textId="64AAFEF5" w:rsidR="007D581B" w:rsidRPr="007D581B" w:rsidRDefault="007D581B" w:rsidP="007D581B">
      <w:pPr>
        <w:pStyle w:val="ListParagraph"/>
        <w:rPr>
          <w:szCs w:val="22"/>
        </w:rPr>
      </w:pPr>
    </w:p>
    <w:p w14:paraId="7868952A" w14:textId="77777777" w:rsidR="007D581B" w:rsidRDefault="007D581B" w:rsidP="007D581B">
      <w:pPr>
        <w:pStyle w:val="ListParagraph"/>
        <w:numPr>
          <w:ilvl w:val="0"/>
          <w:numId w:val="2"/>
        </w:numPr>
        <w:rPr>
          <w:rFonts w:ascii="Arial" w:hAnsi="Arial" w:cs="Arial"/>
          <w:szCs w:val="22"/>
        </w:rPr>
      </w:pPr>
      <w:r w:rsidRPr="007D581B">
        <w:rPr>
          <w:rFonts w:ascii="Arial" w:hAnsi="Arial" w:cs="Arial"/>
          <w:szCs w:val="22"/>
        </w:rPr>
        <w:t xml:space="preserve">We have welcomed the funding as a significant step towards protecting the services caring for older and disabled people in our communities over the next few years. </w:t>
      </w:r>
      <w:r>
        <w:rPr>
          <w:rFonts w:ascii="Arial" w:hAnsi="Arial" w:cs="Arial"/>
          <w:szCs w:val="22"/>
        </w:rPr>
        <w:t>However,</w:t>
      </w:r>
      <w:r w:rsidRPr="007D581B">
        <w:rPr>
          <w:rFonts w:ascii="Arial" w:hAnsi="Arial" w:cs="Arial"/>
          <w:szCs w:val="22"/>
        </w:rPr>
        <w:t xml:space="preserve"> we have </w:t>
      </w:r>
      <w:r>
        <w:rPr>
          <w:rFonts w:ascii="Arial" w:hAnsi="Arial" w:cs="Arial"/>
          <w:szCs w:val="22"/>
        </w:rPr>
        <w:t xml:space="preserve">also </w:t>
      </w:r>
      <w:r w:rsidRPr="007D581B">
        <w:rPr>
          <w:rFonts w:ascii="Arial" w:hAnsi="Arial" w:cs="Arial"/>
          <w:szCs w:val="22"/>
        </w:rPr>
        <w:t xml:space="preserve">been clear that short-term pressures remain and the challenge of </w:t>
      </w:r>
      <w:r w:rsidRPr="007D581B">
        <w:rPr>
          <w:rFonts w:ascii="Arial" w:hAnsi="Arial" w:cs="Arial"/>
          <w:szCs w:val="22"/>
        </w:rPr>
        <w:lastRenderedPageBreak/>
        <w:t xml:space="preserve">finding a long-term solution to the social care crisis is far from over. We have argued that, to close the funding gap facing social care, additional funding needs to be recurrent and put into local government baselines. </w:t>
      </w:r>
    </w:p>
    <w:p w14:paraId="5F2F55AE" w14:textId="77777777" w:rsidR="00135FDF" w:rsidRPr="00135FDF" w:rsidRDefault="00135FDF" w:rsidP="00135FDF">
      <w:pPr>
        <w:pStyle w:val="ListParagraph"/>
        <w:rPr>
          <w:rFonts w:ascii="Arial" w:hAnsi="Arial" w:cs="Arial"/>
          <w:szCs w:val="22"/>
        </w:rPr>
      </w:pPr>
    </w:p>
    <w:p w14:paraId="6BCBF42F" w14:textId="491366AA" w:rsidR="0015740E" w:rsidRPr="003A3CC9" w:rsidRDefault="0015740E" w:rsidP="0015740E">
      <w:pPr>
        <w:pStyle w:val="ListParagraph"/>
        <w:numPr>
          <w:ilvl w:val="0"/>
          <w:numId w:val="2"/>
        </w:numPr>
        <w:rPr>
          <w:rFonts w:ascii="Arial" w:hAnsi="Arial" w:cs="Arial"/>
          <w:szCs w:val="22"/>
        </w:rPr>
      </w:pPr>
      <w:r w:rsidRPr="003A3CC9">
        <w:rPr>
          <w:rFonts w:ascii="Arial" w:hAnsi="Arial" w:cs="Arial"/>
          <w:szCs w:val="22"/>
        </w:rPr>
        <w:t xml:space="preserve">The reducing profile of the additional funding, and inflation forecasts revised sharply upward by the OBR in the short term, mean that the overall funding gap facing local services in 2019/20 remains at £5.8 billion. The shortfall specific to adult social care reduces from £2.6 billion to £2.3 billion in the same year. However, it is worth noting that this is primarily due to the </w:t>
      </w:r>
      <w:r w:rsidR="00685456" w:rsidRPr="003A3CC9">
        <w:rPr>
          <w:rFonts w:ascii="Arial" w:hAnsi="Arial" w:cs="Arial"/>
          <w:szCs w:val="22"/>
        </w:rPr>
        <w:t xml:space="preserve">final instalment </w:t>
      </w:r>
      <w:r w:rsidR="004F4C58" w:rsidRPr="003A3CC9">
        <w:rPr>
          <w:rFonts w:ascii="Arial" w:hAnsi="Arial" w:cs="Arial"/>
          <w:szCs w:val="22"/>
        </w:rPr>
        <w:t>of the</w:t>
      </w:r>
      <w:r w:rsidR="00685456" w:rsidRPr="003A3CC9">
        <w:rPr>
          <w:rFonts w:ascii="Arial" w:hAnsi="Arial" w:cs="Arial"/>
          <w:szCs w:val="22"/>
        </w:rPr>
        <w:t xml:space="preserve"> £2</w:t>
      </w:r>
      <w:r w:rsidR="003A3CC9" w:rsidRPr="003A3CC9">
        <w:rPr>
          <w:rFonts w:ascii="Arial" w:hAnsi="Arial" w:cs="Arial"/>
          <w:szCs w:val="22"/>
        </w:rPr>
        <w:t xml:space="preserve"> </w:t>
      </w:r>
      <w:r w:rsidR="00685456" w:rsidRPr="003A3CC9">
        <w:rPr>
          <w:rFonts w:ascii="Arial" w:hAnsi="Arial" w:cs="Arial"/>
          <w:szCs w:val="22"/>
        </w:rPr>
        <w:t>b</w:t>
      </w:r>
      <w:r w:rsidR="003A3CC9" w:rsidRPr="003A3CC9">
        <w:rPr>
          <w:rFonts w:ascii="Arial" w:hAnsi="Arial" w:cs="Arial"/>
          <w:szCs w:val="22"/>
        </w:rPr>
        <w:t>illion</w:t>
      </w:r>
      <w:r w:rsidR="004F4C58" w:rsidRPr="003A3CC9">
        <w:rPr>
          <w:rFonts w:ascii="Arial" w:hAnsi="Arial" w:cs="Arial"/>
          <w:szCs w:val="22"/>
        </w:rPr>
        <w:t xml:space="preserve"> funding announced in the budget</w:t>
      </w:r>
      <w:r w:rsidR="00685456" w:rsidRPr="003A3CC9">
        <w:rPr>
          <w:rFonts w:ascii="Arial" w:hAnsi="Arial" w:cs="Arial"/>
          <w:szCs w:val="22"/>
        </w:rPr>
        <w:t xml:space="preserve"> amounting to £</w:t>
      </w:r>
      <w:r w:rsidR="0026670D" w:rsidRPr="003A3CC9">
        <w:rPr>
          <w:rFonts w:ascii="Arial" w:hAnsi="Arial" w:cs="Arial"/>
          <w:szCs w:val="22"/>
        </w:rPr>
        <w:t>337m in 2019/20</w:t>
      </w:r>
      <w:r w:rsidRPr="003A3CC9">
        <w:rPr>
          <w:rFonts w:ascii="Arial" w:hAnsi="Arial" w:cs="Arial"/>
          <w:szCs w:val="22"/>
        </w:rPr>
        <w:t xml:space="preserve"> and this </w:t>
      </w:r>
      <w:r w:rsidR="006659D7" w:rsidRPr="003A3CC9">
        <w:rPr>
          <w:rFonts w:ascii="Arial" w:hAnsi="Arial" w:cs="Arial"/>
          <w:szCs w:val="22"/>
        </w:rPr>
        <w:t>will</w:t>
      </w:r>
      <w:r w:rsidR="003A3CC9">
        <w:rPr>
          <w:rFonts w:ascii="Arial" w:hAnsi="Arial" w:cs="Arial"/>
          <w:szCs w:val="22"/>
        </w:rPr>
        <w:t xml:space="preserve"> </w:t>
      </w:r>
      <w:r w:rsidRPr="003A3CC9">
        <w:rPr>
          <w:rFonts w:ascii="Arial" w:hAnsi="Arial" w:cs="Arial"/>
          <w:szCs w:val="22"/>
        </w:rPr>
        <w:t>be phased out completely in 2020/21.</w:t>
      </w:r>
    </w:p>
    <w:p w14:paraId="5B92F4A1" w14:textId="77777777" w:rsidR="007D581B" w:rsidRPr="007D581B" w:rsidRDefault="007D581B" w:rsidP="007D581B">
      <w:pPr>
        <w:pStyle w:val="Default"/>
      </w:pPr>
    </w:p>
    <w:p w14:paraId="2FBFB628" w14:textId="77777777" w:rsidR="00135FDF" w:rsidRDefault="008D51D1" w:rsidP="00135FDF">
      <w:pPr>
        <w:pStyle w:val="ListParagraph"/>
        <w:numPr>
          <w:ilvl w:val="0"/>
          <w:numId w:val="2"/>
        </w:numPr>
        <w:rPr>
          <w:rFonts w:ascii="Arial" w:hAnsi="Arial" w:cs="Arial"/>
          <w:szCs w:val="22"/>
        </w:rPr>
      </w:pPr>
      <w:r>
        <w:rPr>
          <w:rFonts w:ascii="Arial" w:hAnsi="Arial" w:cs="Arial"/>
          <w:szCs w:val="22"/>
        </w:rPr>
        <w:t>At the time of writing</w:t>
      </w:r>
      <w:r w:rsidR="007D581B">
        <w:rPr>
          <w:rFonts w:ascii="Arial" w:hAnsi="Arial" w:cs="Arial"/>
          <w:szCs w:val="22"/>
        </w:rPr>
        <w:t>,</w:t>
      </w:r>
      <w:r>
        <w:rPr>
          <w:rFonts w:ascii="Arial" w:hAnsi="Arial" w:cs="Arial"/>
          <w:szCs w:val="22"/>
        </w:rPr>
        <w:t xml:space="preserve"> t</w:t>
      </w:r>
      <w:r w:rsidRPr="008D51D1">
        <w:rPr>
          <w:rFonts w:ascii="Arial" w:hAnsi="Arial" w:cs="Arial"/>
          <w:szCs w:val="22"/>
        </w:rPr>
        <w:t xml:space="preserve">he final </w:t>
      </w:r>
      <w:r w:rsidR="007D581B">
        <w:rPr>
          <w:rFonts w:ascii="Arial" w:hAnsi="Arial" w:cs="Arial"/>
          <w:szCs w:val="22"/>
        </w:rPr>
        <w:t xml:space="preserve">DCLG </w:t>
      </w:r>
      <w:r w:rsidRPr="008D51D1">
        <w:rPr>
          <w:rFonts w:ascii="Arial" w:hAnsi="Arial" w:cs="Arial"/>
          <w:szCs w:val="22"/>
        </w:rPr>
        <w:t xml:space="preserve">conditions </w:t>
      </w:r>
      <w:r>
        <w:rPr>
          <w:rFonts w:ascii="Arial" w:hAnsi="Arial" w:cs="Arial"/>
          <w:szCs w:val="22"/>
        </w:rPr>
        <w:t xml:space="preserve">for the funding </w:t>
      </w:r>
      <w:r w:rsidR="007D581B">
        <w:rPr>
          <w:rFonts w:ascii="Arial" w:hAnsi="Arial" w:cs="Arial"/>
          <w:szCs w:val="22"/>
        </w:rPr>
        <w:t>are still being finalised. As councils will need to pool the funding into their local BCF, the revised BCF framework and planning guidance will also refer to the money. LGA officers have been closely involved in discussions with government departments and NHS England</w:t>
      </w:r>
      <w:r w:rsidR="00A36457">
        <w:rPr>
          <w:rFonts w:ascii="Arial" w:hAnsi="Arial" w:cs="Arial"/>
          <w:szCs w:val="22"/>
        </w:rPr>
        <w:t xml:space="preserve"> to ensure councils have maximum flexibility in how the money is used. We have been arguing for:</w:t>
      </w:r>
    </w:p>
    <w:p w14:paraId="68BBE50F" w14:textId="77777777" w:rsidR="00135FDF" w:rsidRPr="00135FDF" w:rsidRDefault="00135FDF" w:rsidP="00135FDF">
      <w:pPr>
        <w:pStyle w:val="ListParagraph"/>
        <w:rPr>
          <w:rFonts w:ascii="Arial" w:hAnsi="Arial" w:cs="Arial"/>
          <w:sz w:val="24"/>
          <w:szCs w:val="24"/>
        </w:rPr>
      </w:pPr>
    </w:p>
    <w:p w14:paraId="0B4F6A10" w14:textId="14828B5E" w:rsidR="00135FDF" w:rsidRDefault="00135FDF" w:rsidP="00135FDF">
      <w:pPr>
        <w:pStyle w:val="ListParagraph"/>
        <w:numPr>
          <w:ilvl w:val="1"/>
          <w:numId w:val="2"/>
        </w:numPr>
        <w:rPr>
          <w:rFonts w:ascii="Arial" w:hAnsi="Arial" w:cs="Arial"/>
          <w:szCs w:val="22"/>
        </w:rPr>
      </w:pPr>
      <w:r w:rsidRPr="00135FDF">
        <w:rPr>
          <w:rFonts w:ascii="Arial" w:hAnsi="Arial" w:cs="Arial"/>
          <w:szCs w:val="22"/>
        </w:rPr>
        <w:t>Recognition that the £2 billion, whilst a significant step towards protecting services for older and disabled people, cannot dea</w:t>
      </w:r>
      <w:r w:rsidR="00925FBA">
        <w:rPr>
          <w:rFonts w:ascii="Arial" w:hAnsi="Arial" w:cs="Arial"/>
          <w:szCs w:val="22"/>
        </w:rPr>
        <w:t>l with all short-term pressures.</w:t>
      </w:r>
    </w:p>
    <w:p w14:paraId="284C1803" w14:textId="77777777" w:rsidR="00F57CFF" w:rsidRPr="00135FDF" w:rsidRDefault="00F57CFF" w:rsidP="00F57CFF">
      <w:pPr>
        <w:pStyle w:val="ListParagraph"/>
        <w:ind w:left="907"/>
        <w:rPr>
          <w:rFonts w:ascii="Arial" w:hAnsi="Arial" w:cs="Arial"/>
          <w:szCs w:val="22"/>
        </w:rPr>
      </w:pPr>
    </w:p>
    <w:p w14:paraId="00A493BA" w14:textId="4B4C8D0F" w:rsidR="00135FDF" w:rsidRDefault="00135FDF" w:rsidP="003A3CC9">
      <w:pPr>
        <w:pStyle w:val="ListParagraph"/>
        <w:numPr>
          <w:ilvl w:val="1"/>
          <w:numId w:val="2"/>
        </w:numPr>
        <w:rPr>
          <w:rFonts w:ascii="Arial" w:hAnsi="Arial" w:cs="Arial"/>
          <w:szCs w:val="22"/>
        </w:rPr>
      </w:pPr>
      <w:r w:rsidRPr="00135FDF">
        <w:rPr>
          <w:rFonts w:ascii="Arial" w:hAnsi="Arial" w:cs="Arial"/>
          <w:szCs w:val="22"/>
        </w:rPr>
        <w:t>Acknowledgement that ‘additional activity’ can be defined as much by spending the money on things that would otherwise not have been possible (</w:t>
      </w:r>
      <w:r w:rsidR="00F57CFF" w:rsidRPr="00135FDF">
        <w:rPr>
          <w:rFonts w:ascii="Arial" w:hAnsi="Arial" w:cs="Arial"/>
          <w:szCs w:val="22"/>
        </w:rPr>
        <w:t>i.e.</w:t>
      </w:r>
      <w:r w:rsidRPr="00135FDF">
        <w:rPr>
          <w:rFonts w:ascii="Arial" w:hAnsi="Arial" w:cs="Arial"/>
          <w:szCs w:val="22"/>
        </w:rPr>
        <w:t xml:space="preserve"> lower than planned reductions, higher than planned provider fees) as it can by ‘new activity’</w:t>
      </w:r>
      <w:r w:rsidR="00925FBA">
        <w:rPr>
          <w:rFonts w:ascii="Arial" w:hAnsi="Arial" w:cs="Arial"/>
          <w:szCs w:val="22"/>
        </w:rPr>
        <w:t>.</w:t>
      </w:r>
    </w:p>
    <w:p w14:paraId="3A9A44C2" w14:textId="77777777" w:rsidR="00F57CFF" w:rsidRPr="00F57CFF" w:rsidRDefault="00F57CFF" w:rsidP="00F57CFF">
      <w:pPr>
        <w:rPr>
          <w:rFonts w:ascii="Arial" w:hAnsi="Arial" w:cs="Arial"/>
          <w:szCs w:val="22"/>
        </w:rPr>
      </w:pPr>
    </w:p>
    <w:p w14:paraId="44C3E49E" w14:textId="71CEE161" w:rsidR="00135FDF" w:rsidRPr="00135FDF" w:rsidRDefault="00135FDF" w:rsidP="003A3CC9">
      <w:pPr>
        <w:pStyle w:val="ListParagraph"/>
        <w:numPr>
          <w:ilvl w:val="1"/>
          <w:numId w:val="2"/>
        </w:numPr>
        <w:rPr>
          <w:rFonts w:ascii="Arial" w:hAnsi="Arial" w:cs="Arial"/>
          <w:szCs w:val="22"/>
        </w:rPr>
      </w:pPr>
      <w:r w:rsidRPr="00135FDF">
        <w:rPr>
          <w:rFonts w:ascii="Arial" w:hAnsi="Arial" w:cs="Arial"/>
          <w:szCs w:val="22"/>
        </w:rPr>
        <w:t>Flexibility to allow councils to get on and spend their additional resources as quickly as possible, in line with the Government’s expectation that councils will “take immediate action”</w:t>
      </w:r>
      <w:r w:rsidR="00424DFC">
        <w:rPr>
          <w:rFonts w:ascii="Arial" w:hAnsi="Arial" w:cs="Arial"/>
          <w:szCs w:val="22"/>
        </w:rPr>
        <w:t>.</w:t>
      </w:r>
    </w:p>
    <w:p w14:paraId="2A265505" w14:textId="77777777" w:rsidR="008D51D1" w:rsidRDefault="008D51D1" w:rsidP="00135FDF">
      <w:pPr>
        <w:pStyle w:val="ListParagraph"/>
        <w:ind w:left="360"/>
        <w:rPr>
          <w:rFonts w:ascii="Arial" w:hAnsi="Arial" w:cs="Arial"/>
          <w:szCs w:val="22"/>
        </w:rPr>
      </w:pPr>
    </w:p>
    <w:p w14:paraId="1B987B08" w14:textId="4ACF522F" w:rsidR="00135FDF" w:rsidRDefault="00135FDF" w:rsidP="007A3EB5">
      <w:pPr>
        <w:pStyle w:val="ListParagraph"/>
        <w:numPr>
          <w:ilvl w:val="0"/>
          <w:numId w:val="2"/>
        </w:numPr>
        <w:rPr>
          <w:rFonts w:ascii="Arial" w:hAnsi="Arial" w:cs="Arial"/>
          <w:szCs w:val="22"/>
        </w:rPr>
      </w:pPr>
      <w:r>
        <w:rPr>
          <w:rFonts w:ascii="Arial" w:hAnsi="Arial" w:cs="Arial"/>
          <w:szCs w:val="22"/>
        </w:rPr>
        <w:t>In the interests of providing councils with as much clarity as possible on the additional money</w:t>
      </w:r>
      <w:r w:rsidR="00C67C06">
        <w:rPr>
          <w:rFonts w:ascii="Arial" w:hAnsi="Arial" w:cs="Arial"/>
          <w:szCs w:val="22"/>
        </w:rPr>
        <w:t>,</w:t>
      </w:r>
      <w:r>
        <w:rPr>
          <w:rFonts w:ascii="Arial" w:hAnsi="Arial" w:cs="Arial"/>
          <w:szCs w:val="22"/>
        </w:rPr>
        <w:t xml:space="preserve"> the LGA has produced an FAQ on the £2 billion, which has been circulated to all lead members of adult social care. This includes the positions the LGA has taken in discussions with Whitehall and NHS England. Separately, LGA and ADASS have written to council chief executives and directors sharing similar updates and positions. </w:t>
      </w:r>
    </w:p>
    <w:p w14:paraId="05D2F43D" w14:textId="77777777" w:rsidR="008A3EC5" w:rsidRPr="007A0DFD" w:rsidRDefault="008A3EC5" w:rsidP="008A3EC5">
      <w:pPr>
        <w:pStyle w:val="ListParagraph"/>
        <w:ind w:left="360"/>
        <w:rPr>
          <w:rFonts w:ascii="Arial" w:hAnsi="Arial" w:cs="Arial"/>
          <w:szCs w:val="22"/>
        </w:rPr>
      </w:pPr>
    </w:p>
    <w:p w14:paraId="08F071E6" w14:textId="77777777" w:rsidR="007A0DFD" w:rsidRPr="007A0DFD" w:rsidRDefault="008D51D1" w:rsidP="007A0DFD">
      <w:pPr>
        <w:pStyle w:val="ListParagraph"/>
        <w:numPr>
          <w:ilvl w:val="0"/>
          <w:numId w:val="2"/>
        </w:numPr>
        <w:rPr>
          <w:rFonts w:ascii="Arial" w:hAnsi="Arial" w:cs="Arial"/>
          <w:szCs w:val="22"/>
        </w:rPr>
      </w:pPr>
      <w:r w:rsidRPr="007A0DFD">
        <w:rPr>
          <w:rFonts w:ascii="Arial" w:hAnsi="Arial" w:cs="Arial"/>
          <w:szCs w:val="22"/>
        </w:rPr>
        <w:t xml:space="preserve">The Government also announced </w:t>
      </w:r>
      <w:r w:rsidR="00BF386B" w:rsidRPr="007A0DFD">
        <w:rPr>
          <w:rFonts w:ascii="Arial" w:hAnsi="Arial" w:cs="Arial"/>
          <w:szCs w:val="22"/>
        </w:rPr>
        <w:t xml:space="preserve">in the Budget </w:t>
      </w:r>
      <w:r w:rsidRPr="007A0DFD">
        <w:rPr>
          <w:rFonts w:ascii="Arial" w:hAnsi="Arial" w:cs="Arial"/>
          <w:szCs w:val="22"/>
        </w:rPr>
        <w:t>that it will set out proposals in a Green Paper to put the adult social care system ‘on a more secure and sustainable long term footing’. The LGA is already in early discussions with officials about the expected content of the Green Paper</w:t>
      </w:r>
      <w:r w:rsidR="008A3EC5" w:rsidRPr="007A0DFD">
        <w:rPr>
          <w:rFonts w:ascii="Arial" w:hAnsi="Arial" w:cs="Arial"/>
          <w:szCs w:val="22"/>
        </w:rPr>
        <w:t>.</w:t>
      </w:r>
      <w:r w:rsidRPr="007A0DFD">
        <w:rPr>
          <w:rFonts w:ascii="Arial" w:hAnsi="Arial" w:cs="Arial"/>
          <w:szCs w:val="22"/>
        </w:rPr>
        <w:t xml:space="preserve"> The Budget Book stated that the Government ‘is committed to establishing a fair and more sustainable basis for adult social care, in the face of the future demographic challenges set out in the OBR’s Fiscal Sustainability Report’.</w:t>
      </w:r>
    </w:p>
    <w:p w14:paraId="0B4E3EB4" w14:textId="77777777" w:rsidR="007A0DFD" w:rsidRPr="007A0DFD" w:rsidRDefault="007A0DFD" w:rsidP="007A0DFD">
      <w:pPr>
        <w:pStyle w:val="ListParagraph"/>
        <w:rPr>
          <w:rFonts w:ascii="Arial" w:hAnsi="Arial" w:cs="Arial"/>
          <w:szCs w:val="22"/>
        </w:rPr>
      </w:pPr>
    </w:p>
    <w:p w14:paraId="53C83111" w14:textId="77777777" w:rsidR="00215CEB" w:rsidRPr="00D56C01" w:rsidRDefault="00215CEB" w:rsidP="00D56C01">
      <w:pPr>
        <w:autoSpaceDE w:val="0"/>
        <w:autoSpaceDN w:val="0"/>
        <w:adjustRightInd w:val="0"/>
        <w:rPr>
          <w:rFonts w:ascii="Arial" w:hAnsi="Arial" w:cs="Arial"/>
          <w:b/>
          <w:szCs w:val="22"/>
        </w:rPr>
      </w:pPr>
      <w:r w:rsidRPr="00D56C01">
        <w:rPr>
          <w:rFonts w:ascii="Arial" w:hAnsi="Arial" w:cs="Arial"/>
          <w:b/>
          <w:szCs w:val="22"/>
        </w:rPr>
        <w:t>Recommendations</w:t>
      </w:r>
    </w:p>
    <w:p w14:paraId="420F436D" w14:textId="77777777" w:rsidR="0067725F" w:rsidRDefault="0067725F" w:rsidP="00D56C01">
      <w:pPr>
        <w:autoSpaceDE w:val="0"/>
        <w:autoSpaceDN w:val="0"/>
        <w:adjustRightInd w:val="0"/>
        <w:rPr>
          <w:rFonts w:ascii="Arial" w:hAnsi="Arial" w:cs="Arial"/>
          <w:szCs w:val="22"/>
        </w:rPr>
      </w:pPr>
    </w:p>
    <w:p w14:paraId="5E9A75CD" w14:textId="68BC19E0" w:rsidR="00A64607" w:rsidRDefault="00D56C01" w:rsidP="007A3EB5">
      <w:pPr>
        <w:pStyle w:val="ListParagraph"/>
        <w:numPr>
          <w:ilvl w:val="0"/>
          <w:numId w:val="2"/>
        </w:numPr>
        <w:rPr>
          <w:rFonts w:ascii="Arial" w:hAnsi="Arial" w:cs="Arial"/>
          <w:szCs w:val="22"/>
        </w:rPr>
      </w:pPr>
      <w:r w:rsidRPr="00D56C01">
        <w:rPr>
          <w:rFonts w:ascii="Arial" w:hAnsi="Arial" w:cs="Arial"/>
          <w:szCs w:val="22"/>
        </w:rPr>
        <w:t xml:space="preserve">Members of the </w:t>
      </w:r>
      <w:r w:rsidR="00876640">
        <w:rPr>
          <w:rFonts w:ascii="Arial" w:hAnsi="Arial" w:cs="Arial"/>
          <w:szCs w:val="22"/>
        </w:rPr>
        <w:t xml:space="preserve">LGA </w:t>
      </w:r>
      <w:bookmarkStart w:id="3" w:name="_GoBack"/>
      <w:bookmarkEnd w:id="3"/>
      <w:r w:rsidR="004F58FC">
        <w:rPr>
          <w:rFonts w:ascii="Arial" w:hAnsi="Arial" w:cs="Arial"/>
          <w:szCs w:val="22"/>
        </w:rPr>
        <w:t>Leadership</w:t>
      </w:r>
      <w:r w:rsidRPr="00D56C01">
        <w:rPr>
          <w:rFonts w:ascii="Arial" w:hAnsi="Arial" w:cs="Arial"/>
          <w:szCs w:val="22"/>
        </w:rPr>
        <w:t xml:space="preserve"> Board are asked to note this report, comment on its contents and agree any further action.</w:t>
      </w:r>
    </w:p>
    <w:p w14:paraId="66A62511" w14:textId="77777777" w:rsidR="00A64607" w:rsidRDefault="00A64607" w:rsidP="00A64607">
      <w:pPr>
        <w:pStyle w:val="MainText"/>
        <w:spacing w:line="240" w:lineRule="auto"/>
        <w:jc w:val="both"/>
        <w:rPr>
          <w:rFonts w:ascii="Arial" w:hAnsi="Arial" w:cs="Arial"/>
          <w:szCs w:val="22"/>
        </w:rPr>
      </w:pPr>
    </w:p>
    <w:p w14:paraId="0EE8F716" w14:textId="77777777" w:rsidR="00215CEB" w:rsidRPr="00A64607" w:rsidRDefault="00215CEB" w:rsidP="00A64607">
      <w:pPr>
        <w:pStyle w:val="MainText"/>
        <w:spacing w:line="240" w:lineRule="auto"/>
        <w:jc w:val="both"/>
        <w:rPr>
          <w:rFonts w:ascii="Arial" w:hAnsi="Arial" w:cs="Arial"/>
          <w:szCs w:val="22"/>
        </w:rPr>
      </w:pPr>
      <w:r w:rsidRPr="00A64607">
        <w:rPr>
          <w:rFonts w:ascii="Arial" w:hAnsi="Arial" w:cs="Arial"/>
          <w:b/>
          <w:szCs w:val="22"/>
        </w:rPr>
        <w:t>Financial Implications</w:t>
      </w:r>
    </w:p>
    <w:p w14:paraId="1A5BCEC7" w14:textId="77777777" w:rsidR="00B4673A" w:rsidRPr="00D56C01" w:rsidRDefault="00B4673A" w:rsidP="00D56C01">
      <w:pPr>
        <w:pStyle w:val="ListParagraph"/>
        <w:ind w:left="360"/>
        <w:rPr>
          <w:rFonts w:ascii="Arial" w:hAnsi="Arial" w:cs="Arial"/>
          <w:szCs w:val="22"/>
        </w:rPr>
      </w:pPr>
    </w:p>
    <w:p w14:paraId="4F185C38" w14:textId="77777777" w:rsidR="00215CEB" w:rsidRDefault="00670623" w:rsidP="007A3EB5">
      <w:pPr>
        <w:pStyle w:val="ListParagraph"/>
        <w:numPr>
          <w:ilvl w:val="0"/>
          <w:numId w:val="2"/>
        </w:numPr>
        <w:rPr>
          <w:rFonts w:ascii="Arial" w:hAnsi="Arial" w:cs="Arial"/>
          <w:szCs w:val="22"/>
        </w:rPr>
      </w:pPr>
      <w:r>
        <w:rPr>
          <w:rFonts w:ascii="Arial" w:hAnsi="Arial" w:cs="Arial"/>
          <w:szCs w:val="22"/>
        </w:rPr>
        <w:t>This is part of the LGA’s core programme of work and as such has been budgeted for</w:t>
      </w:r>
      <w:r w:rsidR="0006473E">
        <w:rPr>
          <w:rFonts w:ascii="Arial" w:hAnsi="Arial" w:cs="Arial"/>
          <w:szCs w:val="22"/>
        </w:rPr>
        <w:t>.</w:t>
      </w:r>
    </w:p>
    <w:p w14:paraId="7496A576" w14:textId="77777777" w:rsidR="0006473E" w:rsidRDefault="0006473E" w:rsidP="000B3E00">
      <w:pPr>
        <w:pStyle w:val="MainText"/>
        <w:spacing w:line="240" w:lineRule="auto"/>
        <w:jc w:val="both"/>
        <w:rPr>
          <w:rFonts w:ascii="Arial" w:hAnsi="Arial" w:cs="Arial"/>
          <w:szCs w:val="22"/>
        </w:rPr>
      </w:pPr>
    </w:p>
    <w:p w14:paraId="525686E5" w14:textId="77777777" w:rsidR="0006473E" w:rsidRDefault="0006473E" w:rsidP="0006473E">
      <w:pPr>
        <w:pStyle w:val="MainText"/>
        <w:spacing w:line="240" w:lineRule="auto"/>
        <w:rPr>
          <w:rFonts w:ascii="Arial" w:hAnsi="Arial" w:cs="Arial"/>
          <w:b/>
          <w:szCs w:val="22"/>
        </w:rPr>
      </w:pPr>
      <w:r w:rsidRPr="0006473E">
        <w:rPr>
          <w:rFonts w:ascii="Arial" w:hAnsi="Arial" w:cs="Arial"/>
          <w:b/>
          <w:szCs w:val="22"/>
        </w:rPr>
        <w:lastRenderedPageBreak/>
        <w:t>Implications for Wales</w:t>
      </w:r>
    </w:p>
    <w:p w14:paraId="5C81CFBD" w14:textId="77777777" w:rsidR="0006473E" w:rsidRPr="003A3CC9" w:rsidRDefault="0006473E" w:rsidP="0006473E">
      <w:pPr>
        <w:pStyle w:val="MainText"/>
        <w:spacing w:line="240" w:lineRule="auto"/>
        <w:rPr>
          <w:rFonts w:ascii="Arial" w:hAnsi="Arial" w:cs="Arial"/>
          <w:szCs w:val="22"/>
        </w:rPr>
      </w:pPr>
    </w:p>
    <w:p w14:paraId="7B0B699C" w14:textId="587EA674" w:rsidR="008E087E" w:rsidRPr="003A3CC9" w:rsidRDefault="003A3CC9" w:rsidP="003A3CC9">
      <w:pPr>
        <w:pStyle w:val="ListParagraph"/>
        <w:numPr>
          <w:ilvl w:val="0"/>
          <w:numId w:val="2"/>
        </w:numPr>
        <w:rPr>
          <w:rFonts w:ascii="Arial" w:hAnsi="Arial" w:cs="Arial"/>
        </w:rPr>
      </w:pPr>
      <w:r w:rsidRPr="003A3CC9">
        <w:rPr>
          <w:rFonts w:ascii="Arial" w:hAnsi="Arial" w:cs="Arial"/>
          <w:szCs w:val="22"/>
        </w:rPr>
        <w:t>The Budget has implications for the public sector across the United Kingdom. However, the on-the-day briefing focussed on issues that have an impact on English local government. Funding announced in the Budget for England will have Barnett Formula consequences for Wales. Business rates revaluation does apply in Wales as well as England, but it will not affect council funding in the same way. Business rates policy in Wales is the responsibility of the Welsh Government</w:t>
      </w:r>
      <w:r>
        <w:rPr>
          <w:rFonts w:ascii="Arial" w:hAnsi="Arial" w:cs="Arial"/>
          <w:szCs w:val="22"/>
        </w:rPr>
        <w:t>.</w:t>
      </w:r>
      <w:bookmarkStart w:id="4" w:name="bmDocumentDate"/>
      <w:bookmarkEnd w:id="4"/>
    </w:p>
    <w:sectPr w:rsidR="008E087E" w:rsidRPr="003A3CC9" w:rsidSect="001E476B">
      <w:headerReference w:type="default" r:id="rId18"/>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E51C" w14:textId="77777777" w:rsidR="001565C6" w:rsidRDefault="001565C6">
      <w:r>
        <w:separator/>
      </w:r>
    </w:p>
  </w:endnote>
  <w:endnote w:type="continuationSeparator" w:id="0">
    <w:p w14:paraId="50CDC7D4" w14:textId="77777777" w:rsidR="001565C6" w:rsidRDefault="0015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20B0500000000000000"/>
    <w:charset w:val="00"/>
    <w:family w:val="swiss"/>
    <w:pitch w:val="variable"/>
    <w:sig w:usb0="00000003" w:usb1="00000000" w:usb2="00000000" w:usb3="00000000" w:csb0="00000001" w:csb1="00000000"/>
  </w:font>
  <w:font w:name="Frutiger 55 Roman">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GA Logo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4372" w14:textId="77777777" w:rsidR="001565C6" w:rsidRDefault="001565C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05C4C" w14:textId="77777777" w:rsidR="001565C6" w:rsidRDefault="001565C6">
      <w:r>
        <w:separator/>
      </w:r>
    </w:p>
  </w:footnote>
  <w:footnote w:type="continuationSeparator" w:id="0">
    <w:p w14:paraId="108D8E93" w14:textId="77777777" w:rsidR="001565C6" w:rsidRDefault="0015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1565C6" w:rsidRPr="004F266E" w14:paraId="2F6FE7D5" w14:textId="77777777" w:rsidTr="00680C82">
      <w:tc>
        <w:tcPr>
          <w:tcW w:w="5920" w:type="dxa"/>
          <w:vMerge w:val="restart"/>
          <w:shd w:val="clear" w:color="auto" w:fill="auto"/>
        </w:tcPr>
        <w:p w14:paraId="118D5994" w14:textId="77777777" w:rsidR="001565C6" w:rsidRPr="00374227" w:rsidRDefault="001565C6" w:rsidP="00680C82">
          <w:pPr>
            <w:pStyle w:val="Header"/>
            <w:tabs>
              <w:tab w:val="clear" w:pos="4153"/>
              <w:tab w:val="clear" w:pos="8306"/>
              <w:tab w:val="center" w:pos="2923"/>
            </w:tabs>
          </w:pPr>
          <w:r>
            <w:rPr>
              <w:rFonts w:ascii="Arial" w:hAnsi="Arial" w:cs="Arial"/>
              <w:noProof/>
              <w:sz w:val="44"/>
              <w:szCs w:val="44"/>
            </w:rPr>
            <w:drawing>
              <wp:inline distT="0" distB="0" distL="0" distR="0" wp14:anchorId="047639F5" wp14:editId="469A317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6B240E1" w14:textId="77777777" w:rsidR="001565C6" w:rsidRPr="00374227" w:rsidRDefault="001565C6" w:rsidP="00FE389F">
          <w:pPr>
            <w:pStyle w:val="Header"/>
            <w:rPr>
              <w:rFonts w:ascii="Arial" w:hAnsi="Arial" w:cs="Arial"/>
              <w:b/>
              <w:szCs w:val="22"/>
            </w:rPr>
          </w:pPr>
          <w:r>
            <w:rPr>
              <w:rFonts w:ascii="Arial" w:hAnsi="Arial" w:cs="Arial"/>
              <w:b/>
              <w:szCs w:val="22"/>
            </w:rPr>
            <w:t>LGA Leadership Board</w:t>
          </w:r>
        </w:p>
      </w:tc>
    </w:tr>
    <w:tr w:rsidR="001565C6" w14:paraId="1F9CFFDD" w14:textId="77777777" w:rsidTr="00680C82">
      <w:trPr>
        <w:trHeight w:val="450"/>
      </w:trPr>
      <w:tc>
        <w:tcPr>
          <w:tcW w:w="5920" w:type="dxa"/>
          <w:vMerge/>
          <w:shd w:val="clear" w:color="auto" w:fill="auto"/>
        </w:tcPr>
        <w:p w14:paraId="731DA606" w14:textId="77777777" w:rsidR="001565C6" w:rsidRPr="00374227" w:rsidRDefault="001565C6" w:rsidP="00680C82">
          <w:pPr>
            <w:pStyle w:val="Header"/>
          </w:pPr>
        </w:p>
      </w:tc>
      <w:tc>
        <w:tcPr>
          <w:tcW w:w="3260" w:type="dxa"/>
          <w:shd w:val="clear" w:color="auto" w:fill="auto"/>
          <w:vAlign w:val="center"/>
        </w:tcPr>
        <w:p w14:paraId="5377379A" w14:textId="77777777" w:rsidR="001565C6" w:rsidRPr="00374227" w:rsidRDefault="001565C6" w:rsidP="00180849">
          <w:pPr>
            <w:pStyle w:val="Header"/>
            <w:spacing w:before="60"/>
            <w:rPr>
              <w:rFonts w:ascii="Arial" w:hAnsi="Arial" w:cs="Arial"/>
              <w:szCs w:val="22"/>
            </w:rPr>
          </w:pPr>
          <w:r>
            <w:rPr>
              <w:rFonts w:ascii="Arial" w:hAnsi="Arial" w:cs="Arial"/>
              <w:szCs w:val="22"/>
            </w:rPr>
            <w:t>5 April 2017</w:t>
          </w:r>
        </w:p>
      </w:tc>
    </w:tr>
    <w:tr w:rsidR="001565C6" w:rsidRPr="004F266E" w14:paraId="4B964DFA" w14:textId="77777777" w:rsidTr="00680C82">
      <w:trPr>
        <w:trHeight w:val="708"/>
      </w:trPr>
      <w:tc>
        <w:tcPr>
          <w:tcW w:w="5920" w:type="dxa"/>
          <w:vMerge/>
          <w:shd w:val="clear" w:color="auto" w:fill="auto"/>
        </w:tcPr>
        <w:p w14:paraId="651090DB" w14:textId="77777777" w:rsidR="001565C6" w:rsidRPr="00374227" w:rsidRDefault="001565C6" w:rsidP="00680C82">
          <w:pPr>
            <w:pStyle w:val="Header"/>
          </w:pPr>
        </w:p>
      </w:tc>
      <w:tc>
        <w:tcPr>
          <w:tcW w:w="3260" w:type="dxa"/>
          <w:shd w:val="clear" w:color="auto" w:fill="auto"/>
          <w:vAlign w:val="center"/>
        </w:tcPr>
        <w:p w14:paraId="47921E04" w14:textId="5D1C391A" w:rsidR="001565C6" w:rsidRPr="00374227" w:rsidRDefault="001565C6" w:rsidP="004B0FD9">
          <w:pPr>
            <w:pStyle w:val="Header"/>
            <w:spacing w:before="60"/>
            <w:rPr>
              <w:rFonts w:ascii="Arial" w:hAnsi="Arial" w:cs="Arial"/>
              <w:b/>
              <w:szCs w:val="22"/>
            </w:rPr>
          </w:pPr>
        </w:p>
      </w:tc>
    </w:tr>
  </w:tbl>
  <w:p w14:paraId="603A5772" w14:textId="77777777" w:rsidR="001565C6" w:rsidRPr="0021114E" w:rsidRDefault="001565C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3C91" w14:textId="77777777" w:rsidR="001565C6" w:rsidRDefault="001565C6" w:rsidP="00E64FBC">
    <w:pPr>
      <w:pStyle w:val="Header"/>
      <w:rPr>
        <w:sz w:val="2"/>
      </w:rPr>
    </w:pPr>
  </w:p>
  <w:p w14:paraId="44C8593F" w14:textId="77777777" w:rsidR="001565C6" w:rsidRDefault="001565C6"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565C6" w:rsidRPr="001D2C76" w14:paraId="365FDA83" w14:textId="77777777" w:rsidTr="00084E44">
      <w:tc>
        <w:tcPr>
          <w:tcW w:w="6062" w:type="dxa"/>
          <w:vMerge w:val="restart"/>
        </w:tcPr>
        <w:p w14:paraId="5514A62B" w14:textId="77777777" w:rsidR="001565C6" w:rsidRDefault="001565C6" w:rsidP="007C2BC2">
          <w:pPr>
            <w:pStyle w:val="Header"/>
            <w:tabs>
              <w:tab w:val="clear" w:pos="4153"/>
              <w:tab w:val="clear" w:pos="8306"/>
              <w:tab w:val="center" w:pos="2923"/>
            </w:tabs>
          </w:pPr>
          <w:r>
            <w:rPr>
              <w:rFonts w:ascii="Arial" w:hAnsi="Arial" w:cs="Arial"/>
              <w:noProof/>
              <w:sz w:val="44"/>
              <w:szCs w:val="44"/>
            </w:rPr>
            <w:drawing>
              <wp:inline distT="0" distB="0" distL="0" distR="0" wp14:anchorId="24686452" wp14:editId="53DD593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437A920" w14:textId="77777777" w:rsidR="001565C6" w:rsidRPr="001D2C76" w:rsidRDefault="001565C6" w:rsidP="00546D0D">
          <w:pPr>
            <w:pStyle w:val="Header"/>
            <w:rPr>
              <w:b/>
            </w:rPr>
          </w:pPr>
          <w:r>
            <w:rPr>
              <w:rFonts w:ascii="Arial" w:hAnsi="Arial" w:cs="Arial"/>
              <w:b/>
              <w:sz w:val="24"/>
              <w:szCs w:val="24"/>
            </w:rPr>
            <w:t>Meeting title</w:t>
          </w:r>
        </w:p>
      </w:tc>
    </w:tr>
    <w:tr w:rsidR="001565C6" w14:paraId="6386E627" w14:textId="77777777" w:rsidTr="00084E44">
      <w:trPr>
        <w:trHeight w:val="450"/>
      </w:trPr>
      <w:tc>
        <w:tcPr>
          <w:tcW w:w="6062" w:type="dxa"/>
          <w:vMerge/>
        </w:tcPr>
        <w:p w14:paraId="164E9BAC" w14:textId="77777777" w:rsidR="001565C6" w:rsidRDefault="001565C6" w:rsidP="00546D0D">
          <w:pPr>
            <w:pStyle w:val="Header"/>
          </w:pPr>
        </w:p>
      </w:tc>
      <w:tc>
        <w:tcPr>
          <w:tcW w:w="3225" w:type="dxa"/>
        </w:tcPr>
        <w:p w14:paraId="60B6E548" w14:textId="77777777" w:rsidR="001565C6" w:rsidRDefault="001565C6" w:rsidP="00546D0D">
          <w:pPr>
            <w:pStyle w:val="Header"/>
            <w:spacing w:before="60"/>
          </w:pPr>
          <w:r>
            <w:rPr>
              <w:rFonts w:ascii="Arial" w:hAnsi="Arial" w:cs="Arial"/>
              <w:sz w:val="24"/>
              <w:szCs w:val="24"/>
            </w:rPr>
            <w:t xml:space="preserve">Meeting date </w:t>
          </w:r>
        </w:p>
      </w:tc>
    </w:tr>
    <w:tr w:rsidR="001565C6" w14:paraId="165B7362" w14:textId="77777777" w:rsidTr="00084E44">
      <w:trPr>
        <w:trHeight w:val="450"/>
      </w:trPr>
      <w:tc>
        <w:tcPr>
          <w:tcW w:w="6062" w:type="dxa"/>
          <w:vMerge/>
        </w:tcPr>
        <w:p w14:paraId="49384EB1" w14:textId="77777777" w:rsidR="001565C6" w:rsidRDefault="001565C6" w:rsidP="00546D0D">
          <w:pPr>
            <w:pStyle w:val="Header"/>
          </w:pPr>
        </w:p>
      </w:tc>
      <w:tc>
        <w:tcPr>
          <w:tcW w:w="3225" w:type="dxa"/>
        </w:tcPr>
        <w:p w14:paraId="102FC50E" w14:textId="77777777" w:rsidR="001565C6" w:rsidRDefault="001565C6" w:rsidP="00546D0D">
          <w:pPr>
            <w:pStyle w:val="Header"/>
            <w:spacing w:before="60"/>
            <w:rPr>
              <w:rFonts w:ascii="Arial" w:hAnsi="Arial" w:cs="Arial"/>
              <w:b/>
              <w:sz w:val="24"/>
              <w:szCs w:val="24"/>
            </w:rPr>
          </w:pPr>
        </w:p>
        <w:p w14:paraId="13A75B04" w14:textId="77777777" w:rsidR="001565C6" w:rsidRPr="00546D0D" w:rsidRDefault="001565C6" w:rsidP="00546D0D">
          <w:pPr>
            <w:pStyle w:val="Header"/>
            <w:spacing w:before="60"/>
            <w:rPr>
              <w:rFonts w:ascii="Arial" w:hAnsi="Arial" w:cs="Arial"/>
              <w:b/>
              <w:sz w:val="24"/>
              <w:szCs w:val="24"/>
            </w:rPr>
          </w:pPr>
          <w:r>
            <w:rPr>
              <w:rFonts w:ascii="Arial" w:hAnsi="Arial" w:cs="Arial"/>
              <w:b/>
              <w:sz w:val="24"/>
              <w:szCs w:val="24"/>
            </w:rPr>
            <w:t>Item X</w:t>
          </w:r>
        </w:p>
      </w:tc>
    </w:tr>
  </w:tbl>
  <w:p w14:paraId="4D6642A7" w14:textId="77777777" w:rsidR="001565C6" w:rsidRDefault="001565C6"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1565C6" w:rsidRPr="004F266E" w14:paraId="163EA60F" w14:textId="77777777" w:rsidTr="00680C82">
      <w:tc>
        <w:tcPr>
          <w:tcW w:w="5920" w:type="dxa"/>
          <w:vMerge w:val="restart"/>
          <w:shd w:val="clear" w:color="auto" w:fill="auto"/>
        </w:tcPr>
        <w:p w14:paraId="1B4006B8" w14:textId="77777777" w:rsidR="001565C6" w:rsidRPr="00374227" w:rsidRDefault="001565C6" w:rsidP="00680C82">
          <w:pPr>
            <w:pStyle w:val="Header"/>
            <w:tabs>
              <w:tab w:val="clear" w:pos="4153"/>
              <w:tab w:val="clear" w:pos="8306"/>
              <w:tab w:val="center" w:pos="2923"/>
            </w:tabs>
          </w:pPr>
          <w:r>
            <w:rPr>
              <w:rFonts w:ascii="Arial" w:hAnsi="Arial" w:cs="Arial"/>
              <w:noProof/>
              <w:sz w:val="44"/>
              <w:szCs w:val="44"/>
            </w:rPr>
            <w:drawing>
              <wp:inline distT="0" distB="0" distL="0" distR="0" wp14:anchorId="6DB421AA" wp14:editId="327C67AD">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024E7081" w14:textId="77777777" w:rsidR="001565C6" w:rsidRPr="00374227" w:rsidRDefault="001565C6" w:rsidP="004F58FC">
          <w:pPr>
            <w:pStyle w:val="Header"/>
            <w:rPr>
              <w:rFonts w:ascii="Arial" w:hAnsi="Arial" w:cs="Arial"/>
              <w:b/>
              <w:szCs w:val="22"/>
            </w:rPr>
          </w:pPr>
          <w:r>
            <w:rPr>
              <w:rFonts w:ascii="Arial" w:hAnsi="Arial" w:cs="Arial"/>
              <w:b/>
              <w:szCs w:val="22"/>
            </w:rPr>
            <w:t>LGA Leadership Board</w:t>
          </w:r>
        </w:p>
      </w:tc>
    </w:tr>
    <w:tr w:rsidR="001565C6" w14:paraId="27D5D420" w14:textId="77777777" w:rsidTr="00680C82">
      <w:trPr>
        <w:trHeight w:val="450"/>
      </w:trPr>
      <w:tc>
        <w:tcPr>
          <w:tcW w:w="5920" w:type="dxa"/>
          <w:vMerge/>
          <w:shd w:val="clear" w:color="auto" w:fill="auto"/>
        </w:tcPr>
        <w:p w14:paraId="7C7552D5" w14:textId="77777777" w:rsidR="001565C6" w:rsidRPr="00374227" w:rsidRDefault="001565C6" w:rsidP="00680C82">
          <w:pPr>
            <w:pStyle w:val="Header"/>
          </w:pPr>
        </w:p>
      </w:tc>
      <w:tc>
        <w:tcPr>
          <w:tcW w:w="3260" w:type="dxa"/>
          <w:shd w:val="clear" w:color="auto" w:fill="auto"/>
          <w:vAlign w:val="center"/>
        </w:tcPr>
        <w:p w14:paraId="3BF7ADDD" w14:textId="77777777" w:rsidR="001565C6" w:rsidRPr="00374227" w:rsidRDefault="001565C6" w:rsidP="00103307">
          <w:pPr>
            <w:pStyle w:val="Header"/>
            <w:spacing w:before="60"/>
            <w:rPr>
              <w:rFonts w:ascii="Arial" w:hAnsi="Arial" w:cs="Arial"/>
              <w:szCs w:val="22"/>
            </w:rPr>
          </w:pPr>
          <w:r>
            <w:rPr>
              <w:rFonts w:ascii="Arial" w:hAnsi="Arial" w:cs="Arial"/>
              <w:szCs w:val="22"/>
            </w:rPr>
            <w:t>5 April 2017</w:t>
          </w:r>
        </w:p>
      </w:tc>
    </w:tr>
    <w:tr w:rsidR="001565C6" w:rsidRPr="004F266E" w14:paraId="0A07D957" w14:textId="77777777" w:rsidTr="00680C82">
      <w:trPr>
        <w:trHeight w:val="708"/>
      </w:trPr>
      <w:tc>
        <w:tcPr>
          <w:tcW w:w="5920" w:type="dxa"/>
          <w:vMerge/>
          <w:shd w:val="clear" w:color="auto" w:fill="auto"/>
        </w:tcPr>
        <w:p w14:paraId="51378520" w14:textId="77777777" w:rsidR="001565C6" w:rsidRPr="00374227" w:rsidRDefault="001565C6" w:rsidP="00680C82">
          <w:pPr>
            <w:pStyle w:val="Header"/>
          </w:pPr>
        </w:p>
      </w:tc>
      <w:tc>
        <w:tcPr>
          <w:tcW w:w="3260" w:type="dxa"/>
          <w:shd w:val="clear" w:color="auto" w:fill="auto"/>
          <w:vAlign w:val="center"/>
        </w:tcPr>
        <w:p w14:paraId="59FAEAA0" w14:textId="41F6208D" w:rsidR="001565C6" w:rsidRPr="00374227" w:rsidRDefault="001565C6" w:rsidP="004B0FD9">
          <w:pPr>
            <w:pStyle w:val="Header"/>
            <w:spacing w:before="60"/>
            <w:rPr>
              <w:rFonts w:ascii="Arial" w:hAnsi="Arial" w:cs="Arial"/>
              <w:b/>
              <w:szCs w:val="22"/>
            </w:rPr>
          </w:pPr>
        </w:p>
      </w:tc>
    </w:tr>
  </w:tbl>
  <w:p w14:paraId="6A299095" w14:textId="77777777" w:rsidR="001565C6" w:rsidRPr="0021114E" w:rsidRDefault="001565C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FEA"/>
    <w:multiLevelType w:val="hybridMultilevel"/>
    <w:tmpl w:val="135C0F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F34D8"/>
    <w:multiLevelType w:val="hybridMultilevel"/>
    <w:tmpl w:val="FD52F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5EC5"/>
    <w:multiLevelType w:val="multilevel"/>
    <w:tmpl w:val="185CF72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2D155F"/>
    <w:multiLevelType w:val="hybridMultilevel"/>
    <w:tmpl w:val="28967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44D6A"/>
    <w:multiLevelType w:val="hybridMultilevel"/>
    <w:tmpl w:val="8C22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67CE"/>
    <w:multiLevelType w:val="hybridMultilevel"/>
    <w:tmpl w:val="333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116B6"/>
    <w:multiLevelType w:val="hybridMultilevel"/>
    <w:tmpl w:val="07B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A178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10581"/>
    <w:multiLevelType w:val="hybridMultilevel"/>
    <w:tmpl w:val="C2F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BD7FB8"/>
    <w:multiLevelType w:val="hybridMultilevel"/>
    <w:tmpl w:val="C0C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C25FD"/>
    <w:multiLevelType w:val="hybridMultilevel"/>
    <w:tmpl w:val="3EB0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42E4E"/>
    <w:multiLevelType w:val="hybridMultilevel"/>
    <w:tmpl w:val="47F2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3E3553"/>
    <w:multiLevelType w:val="hybridMultilevel"/>
    <w:tmpl w:val="D458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4C5789"/>
    <w:multiLevelType w:val="hybridMultilevel"/>
    <w:tmpl w:val="F838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BC2B88"/>
    <w:multiLevelType w:val="hybridMultilevel"/>
    <w:tmpl w:val="819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862BF7"/>
    <w:multiLevelType w:val="hybridMultilevel"/>
    <w:tmpl w:val="B302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003A4"/>
    <w:multiLevelType w:val="hybridMultilevel"/>
    <w:tmpl w:val="C598DC8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70B22FF"/>
    <w:multiLevelType w:val="hybridMultilevel"/>
    <w:tmpl w:val="9146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13953"/>
    <w:multiLevelType w:val="hybridMultilevel"/>
    <w:tmpl w:val="BA78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F4DC1"/>
    <w:multiLevelType w:val="hybridMultilevel"/>
    <w:tmpl w:val="6EC01324"/>
    <w:lvl w:ilvl="0" w:tplc="3F808854">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9B029C"/>
    <w:multiLevelType w:val="hybridMultilevel"/>
    <w:tmpl w:val="A742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CD5825"/>
    <w:multiLevelType w:val="hybridMultilevel"/>
    <w:tmpl w:val="39F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80A5E"/>
    <w:multiLevelType w:val="hybridMultilevel"/>
    <w:tmpl w:val="E4B4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55393B"/>
    <w:multiLevelType w:val="hybridMultilevel"/>
    <w:tmpl w:val="B78E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8026C"/>
    <w:multiLevelType w:val="hybridMultilevel"/>
    <w:tmpl w:val="FC0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A593C"/>
    <w:multiLevelType w:val="hybridMultilevel"/>
    <w:tmpl w:val="3B86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0B68C5"/>
    <w:multiLevelType w:val="hybridMultilevel"/>
    <w:tmpl w:val="902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6068D"/>
    <w:multiLevelType w:val="hybridMultilevel"/>
    <w:tmpl w:val="4D4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A485E"/>
    <w:multiLevelType w:val="hybridMultilevel"/>
    <w:tmpl w:val="E2B00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FBF53CF"/>
    <w:multiLevelType w:val="hybridMultilevel"/>
    <w:tmpl w:val="8A6E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4C6BFA"/>
    <w:multiLevelType w:val="hybridMultilevel"/>
    <w:tmpl w:val="58762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C20292"/>
    <w:multiLevelType w:val="hybridMultilevel"/>
    <w:tmpl w:val="9A1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C5541D"/>
    <w:multiLevelType w:val="hybridMultilevel"/>
    <w:tmpl w:val="3C1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C0672"/>
    <w:multiLevelType w:val="hybridMultilevel"/>
    <w:tmpl w:val="AF4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8"/>
  </w:num>
  <w:num w:numId="4">
    <w:abstractNumId w:val="32"/>
  </w:num>
  <w:num w:numId="5">
    <w:abstractNumId w:val="5"/>
  </w:num>
  <w:num w:numId="6">
    <w:abstractNumId w:val="6"/>
  </w:num>
  <w:num w:numId="7">
    <w:abstractNumId w:val="20"/>
  </w:num>
  <w:num w:numId="8">
    <w:abstractNumId w:val="12"/>
  </w:num>
  <w:num w:numId="9">
    <w:abstractNumId w:val="10"/>
  </w:num>
  <w:num w:numId="10">
    <w:abstractNumId w:val="11"/>
  </w:num>
  <w:num w:numId="11">
    <w:abstractNumId w:val="33"/>
  </w:num>
  <w:num w:numId="12">
    <w:abstractNumId w:val="27"/>
  </w:num>
  <w:num w:numId="13">
    <w:abstractNumId w:val="14"/>
  </w:num>
  <w:num w:numId="14">
    <w:abstractNumId w:val="2"/>
  </w:num>
  <w:num w:numId="15">
    <w:abstractNumId w:val="34"/>
  </w:num>
  <w:num w:numId="16">
    <w:abstractNumId w:val="7"/>
  </w:num>
  <w:num w:numId="17">
    <w:abstractNumId w:val="26"/>
  </w:num>
  <w:num w:numId="18">
    <w:abstractNumId w:val="31"/>
  </w:num>
  <w:num w:numId="19">
    <w:abstractNumId w:val="30"/>
  </w:num>
  <w:num w:numId="20">
    <w:abstractNumId w:val="22"/>
  </w:num>
  <w:num w:numId="21">
    <w:abstractNumId w:val="4"/>
  </w:num>
  <w:num w:numId="22">
    <w:abstractNumId w:val="21"/>
  </w:num>
  <w:num w:numId="23">
    <w:abstractNumId w:val="29"/>
  </w:num>
  <w:num w:numId="24">
    <w:abstractNumId w:val="24"/>
  </w:num>
  <w:num w:numId="25">
    <w:abstractNumId w:val="9"/>
  </w:num>
  <w:num w:numId="26">
    <w:abstractNumId w:val="35"/>
  </w:num>
  <w:num w:numId="27">
    <w:abstractNumId w:val="23"/>
  </w:num>
  <w:num w:numId="28">
    <w:abstractNumId w:val="13"/>
  </w:num>
  <w:num w:numId="29">
    <w:abstractNumId w:val="17"/>
  </w:num>
  <w:num w:numId="30">
    <w:abstractNumId w:val="15"/>
  </w:num>
  <w:num w:numId="31">
    <w:abstractNumId w:val="19"/>
  </w:num>
  <w:num w:numId="32">
    <w:abstractNumId w:val="8"/>
  </w:num>
  <w:num w:numId="33">
    <w:abstractNumId w:val="1"/>
  </w:num>
  <w:num w:numId="34">
    <w:abstractNumId w:val="16"/>
  </w:num>
  <w:num w:numId="35">
    <w:abstractNumId w:val="18"/>
  </w:num>
  <w:num w:numId="3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037CD"/>
    <w:rsid w:val="000109D3"/>
    <w:rsid w:val="00010A80"/>
    <w:rsid w:val="00010F63"/>
    <w:rsid w:val="00011E01"/>
    <w:rsid w:val="00013233"/>
    <w:rsid w:val="00014274"/>
    <w:rsid w:val="00017B1A"/>
    <w:rsid w:val="000223F1"/>
    <w:rsid w:val="000367FF"/>
    <w:rsid w:val="000400DA"/>
    <w:rsid w:val="00043670"/>
    <w:rsid w:val="00043B50"/>
    <w:rsid w:val="0005285D"/>
    <w:rsid w:val="000569EF"/>
    <w:rsid w:val="000607C6"/>
    <w:rsid w:val="00061956"/>
    <w:rsid w:val="000624B4"/>
    <w:rsid w:val="0006473E"/>
    <w:rsid w:val="000745DF"/>
    <w:rsid w:val="00074691"/>
    <w:rsid w:val="000756A4"/>
    <w:rsid w:val="000819BC"/>
    <w:rsid w:val="00081B2C"/>
    <w:rsid w:val="00084E44"/>
    <w:rsid w:val="000872FF"/>
    <w:rsid w:val="000A1D2C"/>
    <w:rsid w:val="000A2F6B"/>
    <w:rsid w:val="000A357B"/>
    <w:rsid w:val="000A3935"/>
    <w:rsid w:val="000A4E10"/>
    <w:rsid w:val="000A7C3A"/>
    <w:rsid w:val="000A7FC2"/>
    <w:rsid w:val="000B09F5"/>
    <w:rsid w:val="000B3E00"/>
    <w:rsid w:val="000B7553"/>
    <w:rsid w:val="000C3360"/>
    <w:rsid w:val="000C52D7"/>
    <w:rsid w:val="000D2BDB"/>
    <w:rsid w:val="000D69A8"/>
    <w:rsid w:val="000D702D"/>
    <w:rsid w:val="000E5AF8"/>
    <w:rsid w:val="000E5E39"/>
    <w:rsid w:val="000F38FE"/>
    <w:rsid w:val="0010077D"/>
    <w:rsid w:val="00100FB2"/>
    <w:rsid w:val="00100FC2"/>
    <w:rsid w:val="0010253D"/>
    <w:rsid w:val="00103307"/>
    <w:rsid w:val="00104A08"/>
    <w:rsid w:val="001119F2"/>
    <w:rsid w:val="00112EB4"/>
    <w:rsid w:val="00114A9F"/>
    <w:rsid w:val="00116859"/>
    <w:rsid w:val="001172B6"/>
    <w:rsid w:val="001224A4"/>
    <w:rsid w:val="001225A9"/>
    <w:rsid w:val="0012375F"/>
    <w:rsid w:val="00135FDF"/>
    <w:rsid w:val="00143FD9"/>
    <w:rsid w:val="00147C6A"/>
    <w:rsid w:val="00147F29"/>
    <w:rsid w:val="001565C6"/>
    <w:rsid w:val="0015740E"/>
    <w:rsid w:val="00157F91"/>
    <w:rsid w:val="00161699"/>
    <w:rsid w:val="00165BD0"/>
    <w:rsid w:val="00173D5A"/>
    <w:rsid w:val="0017617B"/>
    <w:rsid w:val="00180849"/>
    <w:rsid w:val="00183E8B"/>
    <w:rsid w:val="00184659"/>
    <w:rsid w:val="00193A9F"/>
    <w:rsid w:val="00194984"/>
    <w:rsid w:val="00194FE7"/>
    <w:rsid w:val="001A07F1"/>
    <w:rsid w:val="001A7A02"/>
    <w:rsid w:val="001D0ADB"/>
    <w:rsid w:val="001D2C76"/>
    <w:rsid w:val="001D6703"/>
    <w:rsid w:val="001E476B"/>
    <w:rsid w:val="001E4CE7"/>
    <w:rsid w:val="001E526D"/>
    <w:rsid w:val="001F3A02"/>
    <w:rsid w:val="00206B87"/>
    <w:rsid w:val="0021114E"/>
    <w:rsid w:val="002126D0"/>
    <w:rsid w:val="00213462"/>
    <w:rsid w:val="00215CEB"/>
    <w:rsid w:val="00215F3B"/>
    <w:rsid w:val="00221E57"/>
    <w:rsid w:val="00223F45"/>
    <w:rsid w:val="00227582"/>
    <w:rsid w:val="002414C2"/>
    <w:rsid w:val="00254DF4"/>
    <w:rsid w:val="002635AC"/>
    <w:rsid w:val="0026670D"/>
    <w:rsid w:val="002723CE"/>
    <w:rsid w:val="0029446B"/>
    <w:rsid w:val="00297F68"/>
    <w:rsid w:val="002A0C7D"/>
    <w:rsid w:val="002A0D9E"/>
    <w:rsid w:val="002A1B91"/>
    <w:rsid w:val="002A5683"/>
    <w:rsid w:val="002B14C4"/>
    <w:rsid w:val="002B5FCA"/>
    <w:rsid w:val="002B7B1D"/>
    <w:rsid w:val="002D0658"/>
    <w:rsid w:val="002D5B0B"/>
    <w:rsid w:val="002D7AFA"/>
    <w:rsid w:val="002E2F4E"/>
    <w:rsid w:val="002E3C00"/>
    <w:rsid w:val="002E6C01"/>
    <w:rsid w:val="002F15DD"/>
    <w:rsid w:val="00300449"/>
    <w:rsid w:val="00302667"/>
    <w:rsid w:val="00305049"/>
    <w:rsid w:val="00310C18"/>
    <w:rsid w:val="00311016"/>
    <w:rsid w:val="00317BEA"/>
    <w:rsid w:val="00324E86"/>
    <w:rsid w:val="00363ED4"/>
    <w:rsid w:val="00371965"/>
    <w:rsid w:val="00372DE6"/>
    <w:rsid w:val="00373AAF"/>
    <w:rsid w:val="00386F0A"/>
    <w:rsid w:val="00393FF1"/>
    <w:rsid w:val="003978FB"/>
    <w:rsid w:val="003A1C3D"/>
    <w:rsid w:val="003A3CC9"/>
    <w:rsid w:val="003B31F5"/>
    <w:rsid w:val="003C0DCB"/>
    <w:rsid w:val="003C77A8"/>
    <w:rsid w:val="003D31A3"/>
    <w:rsid w:val="003E20D5"/>
    <w:rsid w:val="003E4825"/>
    <w:rsid w:val="003E4B3E"/>
    <w:rsid w:val="00403514"/>
    <w:rsid w:val="0041006B"/>
    <w:rsid w:val="00414273"/>
    <w:rsid w:val="0042168F"/>
    <w:rsid w:val="0042412A"/>
    <w:rsid w:val="00424DFC"/>
    <w:rsid w:val="00435D57"/>
    <w:rsid w:val="0043679B"/>
    <w:rsid w:val="004401AF"/>
    <w:rsid w:val="00444C86"/>
    <w:rsid w:val="00445534"/>
    <w:rsid w:val="00446BFD"/>
    <w:rsid w:val="00472CD5"/>
    <w:rsid w:val="00481354"/>
    <w:rsid w:val="00481BF5"/>
    <w:rsid w:val="00492DE5"/>
    <w:rsid w:val="004969E2"/>
    <w:rsid w:val="004B0FD9"/>
    <w:rsid w:val="004C37BE"/>
    <w:rsid w:val="004D36F3"/>
    <w:rsid w:val="004D3EAD"/>
    <w:rsid w:val="004D6E27"/>
    <w:rsid w:val="004E07E7"/>
    <w:rsid w:val="004E2600"/>
    <w:rsid w:val="004E65AE"/>
    <w:rsid w:val="004F0888"/>
    <w:rsid w:val="004F12FE"/>
    <w:rsid w:val="004F14F6"/>
    <w:rsid w:val="004F45D8"/>
    <w:rsid w:val="004F4C58"/>
    <w:rsid w:val="004F58FC"/>
    <w:rsid w:val="004F65EA"/>
    <w:rsid w:val="005061CA"/>
    <w:rsid w:val="0051395F"/>
    <w:rsid w:val="0051496C"/>
    <w:rsid w:val="0051688C"/>
    <w:rsid w:val="00521FF5"/>
    <w:rsid w:val="00527DA9"/>
    <w:rsid w:val="00540228"/>
    <w:rsid w:val="00544DA9"/>
    <w:rsid w:val="00546D0D"/>
    <w:rsid w:val="005563BE"/>
    <w:rsid w:val="00556D8D"/>
    <w:rsid w:val="005711A4"/>
    <w:rsid w:val="00574F05"/>
    <w:rsid w:val="00575EED"/>
    <w:rsid w:val="00591595"/>
    <w:rsid w:val="005928D7"/>
    <w:rsid w:val="005A0189"/>
    <w:rsid w:val="005A4917"/>
    <w:rsid w:val="005A7E46"/>
    <w:rsid w:val="005B3508"/>
    <w:rsid w:val="005B57F1"/>
    <w:rsid w:val="005B6237"/>
    <w:rsid w:val="005D370B"/>
    <w:rsid w:val="005E0BCD"/>
    <w:rsid w:val="005E38A9"/>
    <w:rsid w:val="005F0364"/>
    <w:rsid w:val="005F2DE8"/>
    <w:rsid w:val="005F364F"/>
    <w:rsid w:val="00601A2D"/>
    <w:rsid w:val="00602272"/>
    <w:rsid w:val="00604A2D"/>
    <w:rsid w:val="006137EA"/>
    <w:rsid w:val="006138E3"/>
    <w:rsid w:val="00616455"/>
    <w:rsid w:val="00617B72"/>
    <w:rsid w:val="006213E2"/>
    <w:rsid w:val="0062158E"/>
    <w:rsid w:val="0062371F"/>
    <w:rsid w:val="00634A95"/>
    <w:rsid w:val="006426B3"/>
    <w:rsid w:val="00643DD7"/>
    <w:rsid w:val="006442AC"/>
    <w:rsid w:val="006448E1"/>
    <w:rsid w:val="00646A98"/>
    <w:rsid w:val="00650936"/>
    <w:rsid w:val="006519F7"/>
    <w:rsid w:val="00653432"/>
    <w:rsid w:val="00654832"/>
    <w:rsid w:val="006626F1"/>
    <w:rsid w:val="006659D7"/>
    <w:rsid w:val="00670623"/>
    <w:rsid w:val="006753EE"/>
    <w:rsid w:val="0067725F"/>
    <w:rsid w:val="00680C82"/>
    <w:rsid w:val="0068428D"/>
    <w:rsid w:val="00685456"/>
    <w:rsid w:val="006A0E31"/>
    <w:rsid w:val="006A5793"/>
    <w:rsid w:val="006A5B68"/>
    <w:rsid w:val="006B3E55"/>
    <w:rsid w:val="006B4E36"/>
    <w:rsid w:val="006C33DB"/>
    <w:rsid w:val="006C5480"/>
    <w:rsid w:val="006C5A28"/>
    <w:rsid w:val="006C5D3C"/>
    <w:rsid w:val="006C6FAD"/>
    <w:rsid w:val="006D53BB"/>
    <w:rsid w:val="006F0CCB"/>
    <w:rsid w:val="006F74E0"/>
    <w:rsid w:val="00700AF3"/>
    <w:rsid w:val="0070192D"/>
    <w:rsid w:val="0070562F"/>
    <w:rsid w:val="00706B9A"/>
    <w:rsid w:val="00706D3A"/>
    <w:rsid w:val="0071059E"/>
    <w:rsid w:val="00711FFB"/>
    <w:rsid w:val="0072379B"/>
    <w:rsid w:val="00733A8A"/>
    <w:rsid w:val="007415D5"/>
    <w:rsid w:val="00742F4B"/>
    <w:rsid w:val="007629F7"/>
    <w:rsid w:val="00764234"/>
    <w:rsid w:val="007670B0"/>
    <w:rsid w:val="00767A85"/>
    <w:rsid w:val="00786202"/>
    <w:rsid w:val="0079534B"/>
    <w:rsid w:val="007A063E"/>
    <w:rsid w:val="007A0DFD"/>
    <w:rsid w:val="007A3EB5"/>
    <w:rsid w:val="007A3EFE"/>
    <w:rsid w:val="007B0E65"/>
    <w:rsid w:val="007B7A0E"/>
    <w:rsid w:val="007B7C29"/>
    <w:rsid w:val="007C1849"/>
    <w:rsid w:val="007C2814"/>
    <w:rsid w:val="007C2BC2"/>
    <w:rsid w:val="007D1F1F"/>
    <w:rsid w:val="007D581B"/>
    <w:rsid w:val="007E0594"/>
    <w:rsid w:val="007E2685"/>
    <w:rsid w:val="007F248F"/>
    <w:rsid w:val="007F24E8"/>
    <w:rsid w:val="007F50AB"/>
    <w:rsid w:val="007F680A"/>
    <w:rsid w:val="00801F9C"/>
    <w:rsid w:val="00813E20"/>
    <w:rsid w:val="00817CAA"/>
    <w:rsid w:val="00841710"/>
    <w:rsid w:val="0084749A"/>
    <w:rsid w:val="008518BC"/>
    <w:rsid w:val="00860C8D"/>
    <w:rsid w:val="00864D26"/>
    <w:rsid w:val="00866141"/>
    <w:rsid w:val="008673D4"/>
    <w:rsid w:val="0087174A"/>
    <w:rsid w:val="0087546A"/>
    <w:rsid w:val="0087594D"/>
    <w:rsid w:val="00876640"/>
    <w:rsid w:val="008772F4"/>
    <w:rsid w:val="00884CFA"/>
    <w:rsid w:val="00892C5A"/>
    <w:rsid w:val="00893E53"/>
    <w:rsid w:val="008A1AF7"/>
    <w:rsid w:val="008A1B78"/>
    <w:rsid w:val="008A3EC5"/>
    <w:rsid w:val="008A3F74"/>
    <w:rsid w:val="008A53CB"/>
    <w:rsid w:val="008B1A3E"/>
    <w:rsid w:val="008C3AFD"/>
    <w:rsid w:val="008C600B"/>
    <w:rsid w:val="008D1B23"/>
    <w:rsid w:val="008D332D"/>
    <w:rsid w:val="008D51D1"/>
    <w:rsid w:val="008E087E"/>
    <w:rsid w:val="008E2607"/>
    <w:rsid w:val="008E5AE8"/>
    <w:rsid w:val="008F339D"/>
    <w:rsid w:val="008F3A81"/>
    <w:rsid w:val="008F3C22"/>
    <w:rsid w:val="008F78E9"/>
    <w:rsid w:val="00905EA5"/>
    <w:rsid w:val="009060A8"/>
    <w:rsid w:val="00914A91"/>
    <w:rsid w:val="009238F8"/>
    <w:rsid w:val="009240E7"/>
    <w:rsid w:val="00925FBA"/>
    <w:rsid w:val="0092710B"/>
    <w:rsid w:val="00931696"/>
    <w:rsid w:val="00931FA5"/>
    <w:rsid w:val="009348DE"/>
    <w:rsid w:val="00936FC4"/>
    <w:rsid w:val="0094468C"/>
    <w:rsid w:val="00946A8D"/>
    <w:rsid w:val="00962661"/>
    <w:rsid w:val="00965CD7"/>
    <w:rsid w:val="00966065"/>
    <w:rsid w:val="00967F3E"/>
    <w:rsid w:val="00982B41"/>
    <w:rsid w:val="009833CA"/>
    <w:rsid w:val="009866E3"/>
    <w:rsid w:val="009955AD"/>
    <w:rsid w:val="00997D03"/>
    <w:rsid w:val="009B0968"/>
    <w:rsid w:val="009B5B7E"/>
    <w:rsid w:val="009C2119"/>
    <w:rsid w:val="009C64BE"/>
    <w:rsid w:val="009C7622"/>
    <w:rsid w:val="009C799F"/>
    <w:rsid w:val="009D0C9D"/>
    <w:rsid w:val="009D5D4A"/>
    <w:rsid w:val="009D6157"/>
    <w:rsid w:val="009E17B8"/>
    <w:rsid w:val="009E60B1"/>
    <w:rsid w:val="009E64CF"/>
    <w:rsid w:val="00A05560"/>
    <w:rsid w:val="00A05A24"/>
    <w:rsid w:val="00A11170"/>
    <w:rsid w:val="00A14B03"/>
    <w:rsid w:val="00A17225"/>
    <w:rsid w:val="00A22235"/>
    <w:rsid w:val="00A35C3D"/>
    <w:rsid w:val="00A36457"/>
    <w:rsid w:val="00A41125"/>
    <w:rsid w:val="00A457C9"/>
    <w:rsid w:val="00A530CE"/>
    <w:rsid w:val="00A601EC"/>
    <w:rsid w:val="00A612D3"/>
    <w:rsid w:val="00A64607"/>
    <w:rsid w:val="00A66428"/>
    <w:rsid w:val="00A67E0E"/>
    <w:rsid w:val="00A71CD2"/>
    <w:rsid w:val="00A75FCA"/>
    <w:rsid w:val="00A7644D"/>
    <w:rsid w:val="00A7786B"/>
    <w:rsid w:val="00A84619"/>
    <w:rsid w:val="00A860FF"/>
    <w:rsid w:val="00A9189F"/>
    <w:rsid w:val="00A92B0D"/>
    <w:rsid w:val="00A92B3B"/>
    <w:rsid w:val="00A9342C"/>
    <w:rsid w:val="00A953F4"/>
    <w:rsid w:val="00A96708"/>
    <w:rsid w:val="00AA413F"/>
    <w:rsid w:val="00AA4971"/>
    <w:rsid w:val="00AA5C07"/>
    <w:rsid w:val="00AA5F72"/>
    <w:rsid w:val="00AA6C37"/>
    <w:rsid w:val="00AA6F4D"/>
    <w:rsid w:val="00AD3700"/>
    <w:rsid w:val="00AF2007"/>
    <w:rsid w:val="00AF4C03"/>
    <w:rsid w:val="00B0159A"/>
    <w:rsid w:val="00B042E2"/>
    <w:rsid w:val="00B162A5"/>
    <w:rsid w:val="00B20C53"/>
    <w:rsid w:val="00B31C1A"/>
    <w:rsid w:val="00B43083"/>
    <w:rsid w:val="00B44D0C"/>
    <w:rsid w:val="00B4673A"/>
    <w:rsid w:val="00B51B1C"/>
    <w:rsid w:val="00B52DBB"/>
    <w:rsid w:val="00B5364D"/>
    <w:rsid w:val="00B62101"/>
    <w:rsid w:val="00B62BA4"/>
    <w:rsid w:val="00B63F0D"/>
    <w:rsid w:val="00B6455E"/>
    <w:rsid w:val="00B668B0"/>
    <w:rsid w:val="00B67071"/>
    <w:rsid w:val="00B707C1"/>
    <w:rsid w:val="00B7585E"/>
    <w:rsid w:val="00B809C7"/>
    <w:rsid w:val="00B80B7B"/>
    <w:rsid w:val="00B820E3"/>
    <w:rsid w:val="00B86A97"/>
    <w:rsid w:val="00B91490"/>
    <w:rsid w:val="00B96F1E"/>
    <w:rsid w:val="00BA4B39"/>
    <w:rsid w:val="00BA5509"/>
    <w:rsid w:val="00BA600D"/>
    <w:rsid w:val="00BB212B"/>
    <w:rsid w:val="00BB546C"/>
    <w:rsid w:val="00BC0F7D"/>
    <w:rsid w:val="00BC1B31"/>
    <w:rsid w:val="00BC3B14"/>
    <w:rsid w:val="00BC3B9F"/>
    <w:rsid w:val="00BD4D88"/>
    <w:rsid w:val="00BE06C6"/>
    <w:rsid w:val="00BE1A18"/>
    <w:rsid w:val="00BE232F"/>
    <w:rsid w:val="00BF386B"/>
    <w:rsid w:val="00BF4F9E"/>
    <w:rsid w:val="00C02DB1"/>
    <w:rsid w:val="00C06AE1"/>
    <w:rsid w:val="00C21FC8"/>
    <w:rsid w:val="00C26361"/>
    <w:rsid w:val="00C342FB"/>
    <w:rsid w:val="00C34433"/>
    <w:rsid w:val="00C36EBD"/>
    <w:rsid w:val="00C43E03"/>
    <w:rsid w:val="00C47E09"/>
    <w:rsid w:val="00C55F2A"/>
    <w:rsid w:val="00C56860"/>
    <w:rsid w:val="00C56D09"/>
    <w:rsid w:val="00C63BF4"/>
    <w:rsid w:val="00C67C06"/>
    <w:rsid w:val="00C750DB"/>
    <w:rsid w:val="00C80122"/>
    <w:rsid w:val="00C80B16"/>
    <w:rsid w:val="00C82C83"/>
    <w:rsid w:val="00C8393C"/>
    <w:rsid w:val="00C863F2"/>
    <w:rsid w:val="00C87ADF"/>
    <w:rsid w:val="00C91C5F"/>
    <w:rsid w:val="00C9258A"/>
    <w:rsid w:val="00C95331"/>
    <w:rsid w:val="00CA1498"/>
    <w:rsid w:val="00CA2285"/>
    <w:rsid w:val="00CB7B62"/>
    <w:rsid w:val="00CC0245"/>
    <w:rsid w:val="00CD0C11"/>
    <w:rsid w:val="00CD5BA9"/>
    <w:rsid w:val="00CD6013"/>
    <w:rsid w:val="00CE041C"/>
    <w:rsid w:val="00CE17C3"/>
    <w:rsid w:val="00CE2310"/>
    <w:rsid w:val="00D00ABF"/>
    <w:rsid w:val="00D06E32"/>
    <w:rsid w:val="00D12FE4"/>
    <w:rsid w:val="00D1779A"/>
    <w:rsid w:val="00D20D6A"/>
    <w:rsid w:val="00D2189F"/>
    <w:rsid w:val="00D22013"/>
    <w:rsid w:val="00D31525"/>
    <w:rsid w:val="00D34B67"/>
    <w:rsid w:val="00D43070"/>
    <w:rsid w:val="00D472F1"/>
    <w:rsid w:val="00D56C01"/>
    <w:rsid w:val="00D576E2"/>
    <w:rsid w:val="00D620BE"/>
    <w:rsid w:val="00D66905"/>
    <w:rsid w:val="00D75812"/>
    <w:rsid w:val="00D77253"/>
    <w:rsid w:val="00D80436"/>
    <w:rsid w:val="00D84788"/>
    <w:rsid w:val="00D903DC"/>
    <w:rsid w:val="00D97497"/>
    <w:rsid w:val="00DA0169"/>
    <w:rsid w:val="00DA0183"/>
    <w:rsid w:val="00DB2CA3"/>
    <w:rsid w:val="00DC0CEA"/>
    <w:rsid w:val="00DC40DF"/>
    <w:rsid w:val="00DD666C"/>
    <w:rsid w:val="00DD7640"/>
    <w:rsid w:val="00DE2FF9"/>
    <w:rsid w:val="00DF11AC"/>
    <w:rsid w:val="00E11424"/>
    <w:rsid w:val="00E158A7"/>
    <w:rsid w:val="00E23082"/>
    <w:rsid w:val="00E27467"/>
    <w:rsid w:val="00E36B49"/>
    <w:rsid w:val="00E4011A"/>
    <w:rsid w:val="00E40B9D"/>
    <w:rsid w:val="00E44300"/>
    <w:rsid w:val="00E44D14"/>
    <w:rsid w:val="00E52D8B"/>
    <w:rsid w:val="00E62BF4"/>
    <w:rsid w:val="00E64FBC"/>
    <w:rsid w:val="00E650C7"/>
    <w:rsid w:val="00E664CD"/>
    <w:rsid w:val="00E76C4A"/>
    <w:rsid w:val="00E7710E"/>
    <w:rsid w:val="00E81D1E"/>
    <w:rsid w:val="00E83EB8"/>
    <w:rsid w:val="00E84B8B"/>
    <w:rsid w:val="00E969A3"/>
    <w:rsid w:val="00EA1E42"/>
    <w:rsid w:val="00EA6E17"/>
    <w:rsid w:val="00EB02BF"/>
    <w:rsid w:val="00EB1237"/>
    <w:rsid w:val="00EB6089"/>
    <w:rsid w:val="00EB70EA"/>
    <w:rsid w:val="00EC0400"/>
    <w:rsid w:val="00ED1266"/>
    <w:rsid w:val="00EF6198"/>
    <w:rsid w:val="00F0126F"/>
    <w:rsid w:val="00F01AEC"/>
    <w:rsid w:val="00F17E41"/>
    <w:rsid w:val="00F23B3B"/>
    <w:rsid w:val="00F343A7"/>
    <w:rsid w:val="00F36351"/>
    <w:rsid w:val="00F43EFC"/>
    <w:rsid w:val="00F44F92"/>
    <w:rsid w:val="00F5151E"/>
    <w:rsid w:val="00F56C53"/>
    <w:rsid w:val="00F57CFF"/>
    <w:rsid w:val="00F61196"/>
    <w:rsid w:val="00F6257D"/>
    <w:rsid w:val="00F64D92"/>
    <w:rsid w:val="00F663B5"/>
    <w:rsid w:val="00F6671D"/>
    <w:rsid w:val="00F668D3"/>
    <w:rsid w:val="00F66928"/>
    <w:rsid w:val="00F70528"/>
    <w:rsid w:val="00F74F32"/>
    <w:rsid w:val="00F76C5F"/>
    <w:rsid w:val="00F77051"/>
    <w:rsid w:val="00F83C7A"/>
    <w:rsid w:val="00F866E4"/>
    <w:rsid w:val="00F93118"/>
    <w:rsid w:val="00F95A3A"/>
    <w:rsid w:val="00F95CE6"/>
    <w:rsid w:val="00F9673D"/>
    <w:rsid w:val="00FA14AE"/>
    <w:rsid w:val="00FA26F5"/>
    <w:rsid w:val="00FB080C"/>
    <w:rsid w:val="00FB2042"/>
    <w:rsid w:val="00FB295D"/>
    <w:rsid w:val="00FC306B"/>
    <w:rsid w:val="00FC4CDF"/>
    <w:rsid w:val="00FC7FAC"/>
    <w:rsid w:val="00FD0B56"/>
    <w:rsid w:val="00FD4DD6"/>
    <w:rsid w:val="00FE181A"/>
    <w:rsid w:val="00FE389F"/>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21033"/>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paragraph" w:styleId="Heading1">
    <w:name w:val="heading 1"/>
    <w:basedOn w:val="Normal"/>
    <w:next w:val="Normal"/>
    <w:link w:val="Heading1Char"/>
    <w:qFormat/>
    <w:rsid w:val="00F61196"/>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F61196"/>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uiPriority w:val="99"/>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
      </w:numPr>
      <w:contextualSpacing/>
    </w:pPr>
  </w:style>
  <w:style w:type="character" w:customStyle="1" w:styleId="Heading1Char">
    <w:name w:val="Heading 1 Char"/>
    <w:basedOn w:val="DefaultParagraphFont"/>
    <w:link w:val="Heading1"/>
    <w:rsid w:val="00F61196"/>
    <w:rPr>
      <w:rFonts w:ascii="Frutiger 45 Light" w:hAnsi="Frutiger 45 Light"/>
      <w:kern w:val="28"/>
      <w:sz w:val="70"/>
      <w:lang w:eastAsia="en-US"/>
    </w:rPr>
  </w:style>
  <w:style w:type="character" w:customStyle="1" w:styleId="Heading2Char">
    <w:name w:val="Heading 2 Char"/>
    <w:basedOn w:val="DefaultParagraphFont"/>
    <w:link w:val="Heading2"/>
    <w:rsid w:val="00F61196"/>
    <w:rPr>
      <w:rFonts w:ascii="Frutiger 45 Light" w:hAnsi="Frutiger 45 Light"/>
      <w:sz w:val="32"/>
      <w:lang w:eastAsia="en-US"/>
    </w:rPr>
  </w:style>
  <w:style w:type="paragraph" w:customStyle="1" w:styleId="Address">
    <w:name w:val="Address"/>
    <w:basedOn w:val="Normal"/>
    <w:rsid w:val="00F61196"/>
    <w:pPr>
      <w:widowControl w:val="0"/>
      <w:spacing w:line="220" w:lineRule="exact"/>
    </w:pPr>
    <w:rPr>
      <w:sz w:val="17"/>
      <w:lang w:eastAsia="en-US"/>
    </w:rPr>
  </w:style>
  <w:style w:type="paragraph" w:customStyle="1" w:styleId="Logo">
    <w:name w:val="Logo"/>
    <w:basedOn w:val="Normal"/>
    <w:rsid w:val="00F61196"/>
    <w:pPr>
      <w:framePr w:w="1145" w:h="13353" w:hRule="exact" w:wrap="around" w:vAnchor="page" w:hAnchor="page" w:x="10096" w:y="2593"/>
      <w:widowControl w:val="0"/>
      <w:spacing w:line="1400" w:lineRule="exact"/>
    </w:pPr>
    <w:rPr>
      <w:rFonts w:ascii="LGA Logos" w:hAnsi="LGA Logos"/>
      <w:noProof/>
      <w:sz w:val="180"/>
      <w:lang w:eastAsia="en-US"/>
    </w:rPr>
  </w:style>
  <w:style w:type="character" w:customStyle="1" w:styleId="Heading1Bold">
    <w:name w:val="Heading 1 Bold"/>
    <w:rsid w:val="00F61196"/>
    <w:rPr>
      <w:b/>
    </w:rPr>
  </w:style>
  <w:style w:type="paragraph" w:styleId="FootnoteText">
    <w:name w:val="footnote text"/>
    <w:aliases w:val="Footnote Text ERA,Footnote Text ERA1,Footnote Text ERA2,Footnote Text ERA11,Footnote Text ERA3,Footnote Text ERA12,Footnote Text ERA21,Footnote Text ERA111,Footnote Text ERA4,Footnote Text ERA5,Footnote Text ERA13,Footnote Text ERA22"/>
    <w:basedOn w:val="Normal"/>
    <w:link w:val="FootnoteTextChar"/>
    <w:uiPriority w:val="99"/>
    <w:semiHidden/>
    <w:rsid w:val="00F61196"/>
    <w:pPr>
      <w:widowControl w:val="0"/>
      <w:spacing w:line="260" w:lineRule="exact"/>
    </w:pPr>
    <w:rPr>
      <w:sz w:val="20"/>
      <w:lang w:eastAsia="en-US"/>
    </w:rPr>
  </w:style>
  <w:style w:type="character" w:customStyle="1" w:styleId="FootnoteTextChar">
    <w:name w:val="Footnote Text Char"/>
    <w:aliases w:val="Footnote Text ERA Char,Footnote Text ERA1 Char,Footnote Text ERA2 Char,Footnote Text ERA11 Char,Footnote Text ERA3 Char,Footnote Text ERA12 Char,Footnote Text ERA21 Char,Footnote Text ERA111 Char,Footnote Text ERA4 Char"/>
    <w:basedOn w:val="DefaultParagraphFont"/>
    <w:link w:val="FootnoteText"/>
    <w:uiPriority w:val="99"/>
    <w:semiHidden/>
    <w:rsid w:val="00F61196"/>
    <w:rPr>
      <w:rFonts w:ascii="Frutiger 45 Light" w:hAnsi="Frutiger 45 Light"/>
      <w:lang w:eastAsia="en-US"/>
    </w:rPr>
  </w:style>
  <w:style w:type="character" w:styleId="FootnoteReference">
    <w:name w:val="footnote reference"/>
    <w:aliases w:val="number"/>
    <w:uiPriority w:val="99"/>
    <w:semiHidden/>
    <w:rsid w:val="00F61196"/>
    <w:rPr>
      <w:vertAlign w:val="superscript"/>
    </w:rPr>
  </w:style>
  <w:style w:type="character" w:styleId="PageNumber">
    <w:name w:val="page number"/>
    <w:basedOn w:val="DefaultParagraphFont"/>
    <w:rsid w:val="00F61196"/>
  </w:style>
  <w:style w:type="paragraph" w:styleId="NormalWeb">
    <w:name w:val="Normal (Web)"/>
    <w:basedOn w:val="Normal"/>
    <w:uiPriority w:val="99"/>
    <w:rsid w:val="00F61196"/>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F61196"/>
    <w:rPr>
      <w:rFonts w:ascii="Frutiger 45 Light" w:hAnsi="Frutiger 45 Light"/>
      <w:sz w:val="22"/>
    </w:rPr>
  </w:style>
  <w:style w:type="character" w:customStyle="1" w:styleId="ms-rtefontface-12">
    <w:name w:val="ms-rtefontface-12"/>
    <w:basedOn w:val="DefaultParagraphFont"/>
    <w:rsid w:val="00F61196"/>
    <w:rPr>
      <w:rFonts w:ascii="Tahoma" w:hAnsi="Tahoma" w:cs="Tahoma" w:hint="default"/>
    </w:rPr>
  </w:style>
  <w:style w:type="paragraph" w:styleId="NoSpacing">
    <w:name w:val="No Spacing"/>
    <w:uiPriority w:val="1"/>
    <w:qFormat/>
    <w:rsid w:val="00135FD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7907">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web/guest/briefings-and-responses/-/journal_content/56/10180/8348375/ARTICLE" TargetMode="External"/><Relationship Id="rId2" Type="http://schemas.openxmlformats.org/officeDocument/2006/relationships/customXml" Target="../customXml/item2.xml"/><Relationship Id="rId16" Type="http://schemas.openxmlformats.org/officeDocument/2006/relationships/hyperlink" Target="https://www.gov.uk/government/topical-events/spring-budget-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www.local.gov.uk/documents/10180/11411/2017+Spring+Budget+-+Local+Government+Association+submission.pdf/d0ad569b-c19e-4202-a223-5331b1deb6a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0D66-5C59-4ED4-ABD4-9BB9C5AC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3.xml><?xml version="1.0" encoding="utf-8"?>
<ds:datastoreItem xmlns:ds="http://schemas.openxmlformats.org/officeDocument/2006/customXml" ds:itemID="{D9A9ADDF-FB9B-40EF-BCC5-18875901F4B0}">
  <ds:schemaRefs>
    <ds:schemaRef ds:uri="c8febe6a-14d9-43ab-83c3-c48f478fa47c"/>
    <ds:schemaRef ds:uri="1c8a0e75-f4bc-4eb4-8ed0-578eaea9e1ca"/>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00BB477-F221-49A9-8EC1-1B4426D2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E9C52ED.dotm</Template>
  <TotalTime>5</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31</cp:revision>
  <cp:lastPrinted>2016-07-07T13:15:00Z</cp:lastPrinted>
  <dcterms:created xsi:type="dcterms:W3CDTF">2017-03-27T14:31:00Z</dcterms:created>
  <dcterms:modified xsi:type="dcterms:W3CDTF">2017-03-27T15:35:00Z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0x010100F3A958B6CCA9D141A0BD6E491460B668</vt:lpwstr>
  </property>
</Properties>
</file>